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before="93"/>
        <w:ind w:left="1426" w:right="1421"/>
        <w:jc w:val="center"/>
      </w:pPr>
      <w:r>
        <w:rPr>
          <w:u w:val="single"/>
        </w:rPr>
        <w:t>Solicitud</w:t>
      </w:r>
      <w:r>
        <w:rPr>
          <w:spacing w:val="-2"/>
          <w:u w:val="single"/>
        </w:rPr>
        <w:t> </w:t>
      </w:r>
      <w:r>
        <w:rPr>
          <w:u w:val="single"/>
        </w:rPr>
        <w:t>suspensión</w:t>
      </w:r>
      <w:r>
        <w:rPr>
          <w:spacing w:val="-2"/>
          <w:u w:val="single"/>
        </w:rPr>
        <w:t> </w:t>
      </w:r>
      <w:r>
        <w:rPr>
          <w:u w:val="single"/>
        </w:rPr>
        <w:t>hasta</w:t>
      </w:r>
      <w:r>
        <w:rPr>
          <w:spacing w:val="-2"/>
          <w:u w:val="single"/>
        </w:rPr>
        <w:t> </w:t>
      </w:r>
      <w:r>
        <w:rPr>
          <w:u w:val="single"/>
        </w:rPr>
        <w:t>realojo</w:t>
      </w:r>
      <w:r>
        <w:rPr>
          <w:spacing w:val="-2"/>
          <w:u w:val="single"/>
        </w:rPr>
        <w:t> </w:t>
      </w:r>
      <w:r>
        <w:rPr>
          <w:u w:val="single"/>
        </w:rPr>
        <w:t>adecuado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Administración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tabs>
          <w:tab w:pos="4541" w:val="left" w:leader="none"/>
          <w:tab w:pos="7123" w:val="left" w:leader="none"/>
        </w:tabs>
        <w:spacing w:before="92"/>
        <w:ind w:left="119"/>
        <w:jc w:val="left"/>
        <w:rPr>
          <w:rFonts w:ascii="Times New Roman" w:hAnsi="Times New Roman"/>
          <w:b w:val="0"/>
        </w:rPr>
      </w:pPr>
      <w:r>
        <w:rPr/>
        <w:t>Juzgado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b w:val="0"/>
          <w:w w:val="99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before="93"/>
        <w:ind w:left="119"/>
      </w:pPr>
      <w:r>
        <w:rPr/>
        <w:t>Juicio</w:t>
      </w:r>
      <w:r>
        <w:rPr>
          <w:spacing w:val="-2"/>
        </w:rPr>
        <w:t> </w:t>
      </w:r>
      <w:r>
        <w:rPr/>
        <w:t>Núm.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Title"/>
      </w:pPr>
      <w:r>
        <w:rPr/>
        <w:t>AL</w:t>
      </w:r>
      <w:r>
        <w:rPr>
          <w:spacing w:val="-2"/>
        </w:rPr>
        <w:t> </w:t>
      </w:r>
      <w:r>
        <w:rPr/>
        <w:t>JUZGADO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tabs>
          <w:tab w:pos="1525" w:val="left" w:leader="none"/>
          <w:tab w:pos="3176" w:val="left" w:leader="none"/>
          <w:tab w:pos="3500" w:val="left" w:leader="none"/>
          <w:tab w:pos="6757" w:val="left" w:leader="none"/>
          <w:tab w:pos="9088" w:val="left" w:leader="none"/>
        </w:tabs>
        <w:spacing w:line="276" w:lineRule="auto" w:before="207"/>
        <w:ind w:left="120" w:right="112"/>
        <w:jc w:val="both"/>
        <w:rPr>
          <w:rFonts w:ascii="Arial"/>
          <w:b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/>
        <w:t>,</w:t>
      </w:r>
      <w:r>
        <w:rPr>
          <w:spacing w:val="91"/>
        </w:rPr>
        <w:t> </w:t>
      </w:r>
      <w:r>
        <w:rPr/>
        <w:t>con</w:t>
      </w:r>
      <w:r>
        <w:rPr>
          <w:spacing w:val="92"/>
        </w:rPr>
        <w:t> </w:t>
      </w:r>
      <w:r>
        <w:rPr/>
        <w:t>DNI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nombre</w:t>
      </w:r>
      <w:r>
        <w:rPr>
          <w:spacing w:val="29"/>
        </w:rPr>
        <w:t> </w:t>
      </w:r>
      <w:r>
        <w:rPr/>
        <w:t>propio</w:t>
      </w:r>
      <w:r>
        <w:rPr>
          <w:spacing w:val="28"/>
        </w:rPr>
        <w:t> </w:t>
      </w:r>
      <w:r>
        <w:rPr/>
        <w:t>y</w:t>
      </w:r>
      <w:r>
        <w:rPr>
          <w:spacing w:val="-59"/>
        </w:rPr>
        <w:t> </w:t>
      </w:r>
      <w:r>
        <w:rPr/>
        <w:t>derecho,  </w:t>
      </w:r>
      <w:r>
        <w:rPr>
          <w:spacing w:val="40"/>
        </w:rPr>
        <w:t> </w:t>
      </w:r>
      <w:r>
        <w:rPr/>
        <w:t>con  </w:t>
      </w:r>
      <w:r>
        <w:rPr>
          <w:spacing w:val="40"/>
        </w:rPr>
        <w:t> </w:t>
      </w:r>
      <w:r>
        <w:rPr/>
        <w:t>domicilio  </w:t>
      </w:r>
      <w:r>
        <w:rPr>
          <w:spacing w:val="41"/>
        </w:rPr>
        <w:t> </w:t>
      </w:r>
      <w:r>
        <w:rPr/>
        <w:t>a  </w:t>
      </w:r>
      <w:r>
        <w:rPr>
          <w:spacing w:val="40"/>
        </w:rPr>
        <w:t> </w:t>
      </w:r>
      <w:r>
        <w:rPr/>
        <w:t>efectos  </w:t>
      </w:r>
      <w:r>
        <w:rPr>
          <w:spacing w:val="40"/>
        </w:rPr>
        <w:t> </w:t>
      </w:r>
      <w:r>
        <w:rPr/>
        <w:t>de  </w:t>
      </w:r>
      <w:r>
        <w:rPr>
          <w:spacing w:val="40"/>
        </w:rPr>
        <w:t> </w:t>
      </w:r>
      <w:r>
        <w:rPr/>
        <w:t>notificaciones  </w:t>
      </w:r>
      <w:r>
        <w:rPr>
          <w:spacing w:val="40"/>
        </w:rPr>
        <w:t> </w:t>
      </w:r>
      <w:r>
        <w:rPr/>
        <w:t>en</w:t>
      </w:r>
      <w:r>
        <w:rPr>
          <w:rFonts w:ascii="Times New Roman"/>
          <w:u w:val="single"/>
        </w:rPr>
        <w:tab/>
        <w:tab/>
      </w:r>
      <w:r>
        <w:rPr/>
        <w:t>,</w:t>
      </w:r>
      <w:r>
        <w:rPr>
          <w:spacing w:val="-59"/>
        </w:rPr>
        <w:t> </w:t>
      </w:r>
      <w:r>
        <w:rPr/>
        <w:t>C.P.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  <w:tab/>
      </w:r>
      <w:r>
        <w:rPr/>
        <w:t>, ante el Juzgado comparezco y como mejor proceda en</w:t>
      </w:r>
      <w:r>
        <w:rPr>
          <w:spacing w:val="1"/>
        </w:rPr>
        <w:t> </w:t>
      </w:r>
      <w:r>
        <w:rPr/>
        <w:t>Derecho,</w:t>
      </w:r>
      <w:r>
        <w:rPr>
          <w:spacing w:val="-1"/>
        </w:rPr>
        <w:t> </w:t>
      </w:r>
      <w:r>
        <w:rPr>
          <w:rFonts w:ascii="Arial"/>
          <w:b/>
        </w:rPr>
        <w:t>DIGO: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/>
        <w:t>Que, en fecha 29 de julio de 2015, el Parlament de Catalunya aprobó la Ley 24/2015, de</w:t>
      </w:r>
      <w:r>
        <w:rPr>
          <w:spacing w:val="1"/>
        </w:rPr>
        <w:t> </w:t>
      </w:r>
      <w:r>
        <w:rPr/>
        <w:t>medidas urgentes para afrontar la emergencia en el ámbito de la vivienda y la pobreza</w:t>
      </w:r>
      <w:r>
        <w:rPr>
          <w:spacing w:val="1"/>
        </w:rPr>
        <w:t> </w:t>
      </w:r>
      <w:r>
        <w:rPr/>
        <w:t>energética,</w:t>
      </w:r>
      <w:r>
        <w:rPr>
          <w:spacing w:val="-7"/>
        </w:rPr>
        <w:t> </w:t>
      </w:r>
      <w:r>
        <w:rPr/>
        <w:t>publicada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5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Generalitat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Catalunya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2015. Y actualmente se encuentra en vigor después del desistimiento parcial del recurso de</w:t>
      </w:r>
      <w:r>
        <w:rPr>
          <w:spacing w:val="1"/>
        </w:rPr>
        <w:t> </w:t>
      </w:r>
      <w:r>
        <w:rPr/>
        <w:t>inconstitucionalidad</w:t>
      </w:r>
      <w:r>
        <w:rPr>
          <w:spacing w:val="-12"/>
        </w:rPr>
        <w:t> </w:t>
      </w:r>
      <w:r>
        <w:rPr/>
        <w:t>núm.</w:t>
      </w:r>
      <w:r>
        <w:rPr>
          <w:spacing w:val="-12"/>
        </w:rPr>
        <w:t> </w:t>
      </w:r>
      <w:r>
        <w:rPr/>
        <w:t>2501-2016</w:t>
      </w:r>
      <w:r>
        <w:rPr>
          <w:spacing w:val="-12"/>
        </w:rPr>
        <w:t> </w:t>
      </w:r>
      <w:r>
        <w:rPr/>
        <w:t>acordado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Consejo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Ministros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2018 y su publicación en el BOE.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0" w:right="114"/>
        <w:jc w:val="both"/>
      </w:pPr>
      <w:r>
        <w:rPr/>
        <w:t>Que, en fecha 8 de marzo de 2022, el Parlament de Catalunya aprobó la Ley 1/2022, del 3</w:t>
      </w:r>
      <w:r>
        <w:rPr>
          <w:spacing w:val="1"/>
        </w:rPr>
        <w:t> </w:t>
      </w:r>
      <w:r>
        <w:rPr/>
        <w:t>de marzo de 2022, de Ampliación de las medidas urgentes para afrontar la emergencia</w:t>
      </w:r>
      <w:r>
        <w:rPr>
          <w:spacing w:val="1"/>
        </w:rPr>
        <w:t> </w:t>
      </w:r>
      <w:r>
        <w:rPr/>
        <w:t>habitacional</w:t>
      </w:r>
      <w:r>
        <w:rPr>
          <w:spacing w:val="-1"/>
        </w:rPr>
        <w:t> </w:t>
      </w:r>
      <w:r>
        <w:rPr/>
        <w:t>que modifica la Ley</w:t>
      </w:r>
      <w:r>
        <w:rPr>
          <w:spacing w:val="-1"/>
        </w:rPr>
        <w:t> </w:t>
      </w:r>
      <w:r>
        <w:rPr/>
        <w:t>24/2015, del 29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20" w:right="113" w:firstLine="0"/>
        <w:jc w:val="both"/>
        <w:rPr>
          <w:sz w:val="22"/>
        </w:rPr>
      </w:pPr>
      <w:r>
        <w:rPr>
          <w:sz w:val="22"/>
        </w:rPr>
        <w:t>Que mediante el presente escrito </w:t>
      </w:r>
      <w:r>
        <w:rPr>
          <w:rFonts w:ascii="Arial" w:hAnsi="Arial"/>
          <w:b/>
          <w:sz w:val="22"/>
        </w:rPr>
        <w:t>interesamos la suspensión inmediata de las presentes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actuaciones,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en base a</w:t>
      </w:r>
      <w:r>
        <w:rPr>
          <w:spacing w:val="-1"/>
          <w:sz w:val="22"/>
        </w:rPr>
        <w:t> </w:t>
      </w:r>
      <w:r>
        <w:rPr>
          <w:sz w:val="22"/>
        </w:rPr>
        <w:t>los siguientes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423" w:right="1421"/>
        <w:jc w:val="center"/>
      </w:pPr>
      <w:r>
        <w:rPr/>
        <w:t>HECHOS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1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Situación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emergencia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habitacional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default" r:id="rId5"/>
          <w:type w:val="continuous"/>
          <w:pgSz w:w="11910" w:h="16840"/>
          <w:pgMar w:header="773" w:top="1920" w:bottom="280" w:left="1320" w:right="1320"/>
          <w:pgNumType w:start="1"/>
        </w:sectPr>
      </w:pPr>
    </w:p>
    <w:p>
      <w:pPr>
        <w:pStyle w:val="BodyText"/>
        <w:tabs>
          <w:tab w:pos="2125" w:val="left" w:leader="none"/>
        </w:tabs>
        <w:spacing w:before="93"/>
        <w:ind w:left="120"/>
        <w:rPr>
          <w:rFonts w:ascii="Times New Roman" w:hAnsi="Times New Roman"/>
        </w:rPr>
      </w:pPr>
      <w:r>
        <w:rPr/>
        <w:t>Desde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año </w:t>
      </w:r>
      <w:r>
        <w:rPr>
          <w:spacing w:val="-8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3"/>
        <w:ind w:left="74"/>
        <w:rPr>
          <w:rFonts w:ascii="Times New Roman"/>
        </w:rPr>
      </w:pPr>
      <w:r>
        <w:rPr/>
        <w:br w:type="column"/>
      </w:r>
      <w:r>
        <w:rPr/>
        <w:t>nuestra</w:t>
      </w:r>
      <w:r>
        <w:rPr>
          <w:spacing w:val="51"/>
        </w:rPr>
        <w:t> </w:t>
      </w:r>
      <w:r>
        <w:rPr/>
        <w:t>residencia</w:t>
      </w:r>
      <w:r>
        <w:rPr>
          <w:spacing w:val="52"/>
        </w:rPr>
        <w:t> </w:t>
      </w:r>
      <w:r>
        <w:rPr/>
        <w:t>habitual</w:t>
      </w:r>
      <w:r>
        <w:rPr>
          <w:spacing w:val="51"/>
        </w:rPr>
        <w:t> </w:t>
      </w:r>
      <w:r>
        <w:rPr/>
        <w:t>se</w:t>
      </w:r>
      <w:r>
        <w:rPr>
          <w:spacing w:val="52"/>
        </w:rPr>
        <w:t> </w:t>
      </w:r>
      <w:r>
        <w:rPr/>
        <w:t>encuentra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piso </w:t>
      </w:r>
      <w:r>
        <w:rPr>
          <w:spacing w:val="-8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spacing w:val="24"/>
          <w:u w:val="single"/>
        </w:rPr>
        <w:t> </w:t>
      </w:r>
    </w:p>
    <w:p>
      <w:pPr>
        <w:pStyle w:val="BodyText"/>
        <w:spacing w:before="93"/>
        <w:ind w:left="74"/>
      </w:pPr>
      <w:r>
        <w:rPr/>
        <w:br w:type="column"/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calle</w:t>
      </w:r>
    </w:p>
    <w:p>
      <w:pPr>
        <w:spacing w:after="0"/>
        <w:sectPr>
          <w:type w:val="continuous"/>
          <w:pgSz w:w="11910" w:h="16840"/>
          <w:pgMar w:top="1920" w:bottom="280" w:left="1320" w:right="1320"/>
          <w:cols w:num="3" w:equalWidth="0">
            <w:col w:w="2127" w:space="40"/>
            <w:col w:w="5771" w:space="39"/>
            <w:col w:w="1293"/>
          </w:cols>
        </w:sectPr>
      </w:pPr>
    </w:p>
    <w:p>
      <w:pPr>
        <w:pStyle w:val="BodyText"/>
        <w:tabs>
          <w:tab w:pos="3177" w:val="left" w:leader="none"/>
          <w:tab w:pos="4583" w:val="left" w:leader="none"/>
          <w:tab w:pos="7212" w:val="left" w:leader="none"/>
        </w:tabs>
        <w:spacing w:before="3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núm.</w:t>
      </w:r>
      <w:r>
        <w:rPr>
          <w:rFonts w:ascii="Times New Roman" w:hAnsi="Times New Roman"/>
          <w:u w:val="single"/>
        </w:rPr>
        <w:tab/>
      </w:r>
      <w:r>
        <w:rPr/>
        <w:t>, de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276" w:lineRule="auto" w:before="92"/>
        <w:ind w:left="120" w:right="113"/>
        <w:jc w:val="both"/>
      </w:pPr>
      <w:r>
        <w:rPr/>
        <w:t>Los ingresos familiares se han visto gravemente afectados debido a la prolongada crisis</w:t>
      </w:r>
      <w:r>
        <w:rPr>
          <w:spacing w:val="1"/>
        </w:rPr>
        <w:t> </w:t>
      </w:r>
      <w:r>
        <w:rPr/>
        <w:t>económica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vive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país,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</w:t>
      </w:r>
      <w:r>
        <w:rPr>
          <w:spacing w:val="-2"/>
        </w:rPr>
        <w:t> </w:t>
      </w:r>
      <w:r>
        <w:rPr/>
        <w:t>imposibilitado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muchas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acceder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mercado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vivienda,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elevados</w:t>
      </w:r>
      <w:r>
        <w:rPr>
          <w:spacing w:val="-2"/>
        </w:rPr>
        <w:t> </w:t>
      </w:r>
      <w:r>
        <w:rPr/>
        <w:t>precios,</w:t>
      </w:r>
      <w:r>
        <w:rPr>
          <w:spacing w:val="-2"/>
        </w:rPr>
        <w:t> </w:t>
      </w:r>
      <w:r>
        <w:rPr/>
        <w:t>excluye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grandes</w:t>
      </w:r>
      <w:r>
        <w:rPr>
          <w:spacing w:val="-2"/>
        </w:rPr>
        <w:t> </w:t>
      </w:r>
      <w:r>
        <w:rPr/>
        <w:t>capas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opción.</w:t>
      </w:r>
    </w:p>
    <w:p>
      <w:pPr>
        <w:spacing w:after="0" w:line="276" w:lineRule="auto"/>
        <w:jc w:val="both"/>
        <w:sectPr>
          <w:type w:val="continuous"/>
          <w:pgSz w:w="11910" w:h="16840"/>
          <w:pgMar w:top="192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481" w:val="left" w:leader="none"/>
        </w:tabs>
        <w:ind w:left="120"/>
        <w:jc w:val="both"/>
      </w:pPr>
      <w:r>
        <w:rPr/>
        <w:t>En</w:t>
      </w:r>
      <w:r>
        <w:rPr>
          <w:spacing w:val="42"/>
        </w:rPr>
        <w:t> </w:t>
      </w:r>
      <w:r>
        <w:rPr/>
        <w:t>fecha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42"/>
        </w:rPr>
        <w:t> </w:t>
      </w:r>
      <w:r>
        <w:rPr/>
        <w:t>me</w:t>
      </w:r>
      <w:r>
        <w:rPr>
          <w:spacing w:val="41"/>
        </w:rPr>
        <w:t> </w:t>
      </w:r>
      <w:r>
        <w:rPr/>
        <w:t>fue</w:t>
      </w:r>
      <w:r>
        <w:rPr>
          <w:spacing w:val="42"/>
        </w:rPr>
        <w:t> </w:t>
      </w:r>
      <w:r>
        <w:rPr/>
        <w:t>notificada</w:t>
      </w:r>
      <w:r>
        <w:rPr>
          <w:spacing w:val="42"/>
        </w:rPr>
        <w:t> </w:t>
      </w:r>
      <w:r>
        <w:rPr/>
        <w:t>demanda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procedimiento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desahucio</w:t>
      </w:r>
      <w:r>
        <w:rPr>
          <w:spacing w:val="41"/>
        </w:rPr>
        <w:t> </w:t>
      </w:r>
      <w:r>
        <w:rPr/>
        <w:t>por</w:t>
      </w:r>
    </w:p>
    <w:p>
      <w:pPr>
        <w:pStyle w:val="BodyText"/>
        <w:tabs>
          <w:tab w:pos="2198" w:val="left" w:leader="none"/>
          <w:tab w:pos="3599" w:val="left" w:leader="none"/>
          <w:tab w:pos="3787" w:val="left" w:leader="none"/>
          <w:tab w:pos="8561" w:val="left" w:leader="none"/>
        </w:tabs>
        <w:spacing w:line="276" w:lineRule="auto" w:before="39"/>
        <w:ind w:left="120" w:right="112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"/>
          <w:u w:val="single"/>
        </w:rPr>
        <w:t> </w:t>
      </w:r>
      <w:r>
        <w:rPr/>
        <w:t>núm.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instada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actora</w:t>
      </w:r>
      <w:r>
        <w:rPr>
          <w:rFonts w:ascii="Times New Roman" w:hAnsi="Times New Roman"/>
          <w:u w:val="single"/>
        </w:rPr>
        <w:tab/>
      </w:r>
      <w:r>
        <w:rPr/>
        <w:t>Como</w:t>
      </w:r>
      <w:r>
        <w:rPr>
          <w:spacing w:val="-59"/>
        </w:rPr>
        <w:t> </w:t>
      </w:r>
      <w:r>
        <w:rPr/>
        <w:t>consecuencia de este procedimiento me fue notificada diligencia de </w:t>
      </w:r>
      <w:r>
        <w:rPr>
          <w:u w:val="single"/>
        </w:rPr>
        <w:t>lanzamiento señalado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día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  <w:tab/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</w:pPr>
      <w:r>
        <w:rPr/>
        <w:t>Segundo.-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3"/>
        </w:rPr>
        <w:t> </w:t>
      </w:r>
      <w:r>
        <w:rPr/>
        <w:t>familiar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120"/>
        <w:jc w:val="both"/>
      </w:pP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0"/>
        <w:jc w:val="both"/>
      </w:pP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mensuales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mantenimiento: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/>
        <w:t>Debido a la situación de vulnerabilidad acuden a Servicios Sociales, quienes han emitido</w:t>
      </w:r>
      <w:r>
        <w:rPr>
          <w:spacing w:val="1"/>
        </w:rPr>
        <w:t> </w:t>
      </w:r>
      <w:r>
        <w:rPr/>
        <w:t>Informe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riesgo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exclusión</w:t>
      </w:r>
      <w:r>
        <w:rPr>
          <w:spacing w:val="-9"/>
        </w:rPr>
        <w:t> </w:t>
      </w:r>
      <w:r>
        <w:rPr/>
        <w:t>residencial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10</w:t>
      </w:r>
      <w:r>
        <w:rPr>
          <w:spacing w:val="-1"/>
        </w:rPr>
        <w:t> </w:t>
      </w:r>
      <w:r>
        <w:rPr/>
        <w:t>de la Ley 24/2015 (documento adjunto).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Tercero.-</w:t>
      </w:r>
      <w:r>
        <w:rPr>
          <w:spacing w:val="-2"/>
        </w:rPr>
        <w:t> </w:t>
      </w:r>
      <w:r>
        <w:rPr/>
        <w:t>Dificultad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vivienda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276" w:lineRule="auto" w:before="1"/>
        <w:ind w:left="120" w:right="114"/>
        <w:jc w:val="both"/>
      </w:pPr>
      <w:r>
        <w:rPr/>
        <w:t>Con una tendencia creciente de los precios de los inmuebles, las condiciones del mercado</w:t>
      </w:r>
      <w:r>
        <w:rPr>
          <w:spacing w:val="1"/>
        </w:rPr>
        <w:t> </w:t>
      </w:r>
      <w:r>
        <w:rPr/>
        <w:t>inmobiliario</w:t>
      </w:r>
      <w:r>
        <w:rPr>
          <w:spacing w:val="-4"/>
        </w:rPr>
        <w:t> </w:t>
      </w:r>
      <w:r>
        <w:rPr/>
        <w:t>impiden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vivienda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vulnerabilidad.</w:t>
      </w:r>
      <w:r>
        <w:rPr>
          <w:spacing w:val="-5"/>
        </w:rPr>
        <w:t> </w:t>
      </w:r>
      <w:r>
        <w:rPr/>
        <w:t>En</w:t>
      </w:r>
      <w:r>
        <w:rPr>
          <w:spacing w:val="-58"/>
        </w:rPr>
        <w:t> </w:t>
      </w:r>
      <w:r>
        <w:rPr/>
        <w:t>este sentido, el precio del alquiler en Catalunya ha aumentado un 4,4% de media en 2019,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Vivienda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Generalitat</w:t>
      </w:r>
      <w:r>
        <w:rPr>
          <w:spacing w:val="-11"/>
        </w:rPr>
        <w:t> </w:t>
      </w:r>
      <w:r>
        <w:rPr/>
        <w:t>(a</w:t>
      </w:r>
      <w:r>
        <w:rPr>
          <w:spacing w:val="-12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fianzas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alquiler depositadas</w:t>
      </w:r>
      <w:r>
        <w:rPr>
          <w:spacing w:val="-1"/>
        </w:rPr>
        <w:t> </w:t>
      </w:r>
      <w:r>
        <w:rPr/>
        <w:t>en el INCASÒL).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/>
        <w:t>Sin</w:t>
      </w:r>
      <w:r>
        <w:rPr>
          <w:spacing w:val="-3"/>
        </w:rPr>
        <w:t> </w:t>
      </w:r>
      <w:r>
        <w:rPr/>
        <w:t>duda,</w:t>
      </w:r>
      <w:r>
        <w:rPr>
          <w:spacing w:val="-2"/>
        </w:rPr>
        <w:t> </w:t>
      </w:r>
      <w:r>
        <w:rPr/>
        <w:t>Catalunya</w:t>
      </w:r>
      <w:r>
        <w:rPr>
          <w:spacing w:val="-3"/>
        </w:rPr>
        <w:t> </w:t>
      </w:r>
      <w:r>
        <w:rPr/>
        <w:t>arrastra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histórica</w:t>
      </w:r>
      <w:r>
        <w:rPr>
          <w:spacing w:val="-2"/>
        </w:rPr>
        <w:t> </w:t>
      </w:r>
      <w:r>
        <w:rPr/>
        <w:t>falta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vivienda,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traduce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un escaso parque público de vivienda, que no llega al 2% del parque de acuerdo con el Plan</w:t>
      </w:r>
      <w:r>
        <w:rPr>
          <w:spacing w:val="-59"/>
        </w:rPr>
        <w:t> </w:t>
      </w:r>
      <w:r>
        <w:rPr/>
        <w:t>Territorial Sectorial de Vivienda de la Generalitat, muy lejos de la media de los países del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europeo.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manifiestamente</w:t>
      </w:r>
      <w:r>
        <w:rPr>
          <w:spacing w:val="1"/>
        </w:rPr>
        <w:t> </w:t>
      </w:r>
      <w:r>
        <w:rPr/>
        <w:t>insuficiente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emergencia habitacional que vive Catalunya, el territorio lidera una vez más el ranking de la</w:t>
      </w:r>
      <w:r>
        <w:rPr>
          <w:spacing w:val="1"/>
        </w:rPr>
        <w:t> </w:t>
      </w:r>
      <w:r>
        <w:rPr/>
        <w:t>vergüenza de los desahucios, representando el 23,3% del total estatal el segundo semestre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2019, de</w:t>
      </w:r>
      <w:r>
        <w:rPr>
          <w:spacing w:val="-2"/>
        </w:rPr>
        <w:t> </w:t>
      </w:r>
      <w:r>
        <w:rPr/>
        <w:t>acuerdo a los</w:t>
      </w:r>
      <w:r>
        <w:rPr>
          <w:spacing w:val="-1"/>
        </w:rPr>
        <w:t> </w:t>
      </w:r>
      <w:r>
        <w:rPr/>
        <w:t>datos del</w:t>
      </w:r>
      <w:r>
        <w:rPr>
          <w:spacing w:val="-2"/>
        </w:rPr>
        <w:t> </w:t>
      </w:r>
      <w:r>
        <w:rPr/>
        <w:t>Consejo General del</w:t>
      </w:r>
      <w:r>
        <w:rPr>
          <w:spacing w:val="-1"/>
        </w:rPr>
        <w:t> </w:t>
      </w:r>
      <w:r>
        <w:rPr/>
        <w:t>Poder Judicial.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0" w:right="114"/>
        <w:jc w:val="both"/>
      </w:pPr>
      <w:r>
        <w:rPr/>
        <w:t>Y como anteriormente se ha manifestado, los ingresos familiares son insuficientes para</w:t>
      </w:r>
      <w:r>
        <w:rPr>
          <w:spacing w:val="1"/>
        </w:rPr>
        <w:t> </w:t>
      </w:r>
      <w:r>
        <w:rPr/>
        <w:t>acceder a una vivienda en los actuales términos de mercado, para quien no dispone de</w:t>
      </w:r>
      <w:r>
        <w:rPr>
          <w:spacing w:val="1"/>
        </w:rPr>
        <w:t> </w:t>
      </w:r>
      <w:r>
        <w:rPr/>
        <w:t>alternativa</w:t>
      </w:r>
      <w:r>
        <w:rPr>
          <w:spacing w:val="-1"/>
        </w:rPr>
        <w:t> </w:t>
      </w:r>
      <w:r>
        <w:rPr/>
        <w:t>habitacional.</w:t>
      </w:r>
    </w:p>
    <w:p>
      <w:pPr>
        <w:spacing w:after="0" w:line="276" w:lineRule="auto"/>
        <w:jc w:val="both"/>
        <w:sectPr>
          <w:pgSz w:w="11910" w:h="16840"/>
          <w:pgMar w:header="773" w:footer="0" w:top="192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423" w:right="1421"/>
        <w:jc w:val="center"/>
      </w:pP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119" w:right="113"/>
        <w:jc w:val="both"/>
      </w:pPr>
      <w:r>
        <w:rPr>
          <w:rFonts w:ascii="Arial" w:hAnsi="Arial"/>
          <w:b/>
        </w:rPr>
        <w:t>Primero.- </w:t>
      </w:r>
      <w:r>
        <w:rPr/>
        <w:t>La Ley 24/2015, del 29 de julio, de medidas urgentes para afrontar la emergencia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pobreza</w:t>
      </w:r>
      <w:r>
        <w:rPr>
          <w:spacing w:val="-3"/>
        </w:rPr>
        <w:t> </w:t>
      </w:r>
      <w:r>
        <w:rPr/>
        <w:t>energética,</w:t>
      </w:r>
      <w:r>
        <w:rPr>
          <w:spacing w:val="-2"/>
        </w:rPr>
        <w:t> </w:t>
      </w:r>
      <w:r>
        <w:rPr/>
        <w:t>fruto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movilización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ciudadanía,</w:t>
      </w:r>
      <w:r>
        <w:rPr>
          <w:spacing w:val="-58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desahucios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cronificada situación de emergencia social que vive Catalunya, especialmente grave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 la vivienda.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4"/>
        <w:jc w:val="both"/>
      </w:pPr>
      <w:r>
        <w:rPr/>
        <w:t>Tras el desistimiento parcial del recurso de inconstitucionalidad núm. 2501-2016, acordado</w:t>
      </w:r>
      <w:r>
        <w:rPr>
          <w:spacing w:val="1"/>
        </w:rPr>
        <w:t> </w:t>
      </w:r>
      <w:r>
        <w:rPr/>
        <w:t>en el Consejo de ministros de fecha 2 de noviembre 2018 y su publicación en el BOE, la</w:t>
      </w:r>
      <w:r>
        <w:rPr>
          <w:spacing w:val="1"/>
        </w:rPr>
        <w:t> </w:t>
      </w:r>
      <w:r>
        <w:rPr/>
        <w:t>citada</w:t>
      </w:r>
      <w:r>
        <w:rPr>
          <w:spacing w:val="-1"/>
        </w:rPr>
        <w:t> </w:t>
      </w:r>
      <w:r>
        <w:rPr/>
        <w:t>ley es actualmente vigente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 obligada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19" w:right="114"/>
        <w:jc w:val="both"/>
      </w:pPr>
      <w:r>
        <w:rPr/>
        <w:t>Que, en fecha 8 de marzo de 2022, el Parlament de Catalunya aprobó la Ley 1/2022, del 3</w:t>
      </w:r>
      <w:r>
        <w:rPr>
          <w:spacing w:val="1"/>
        </w:rPr>
        <w:t> </w:t>
      </w:r>
      <w:r>
        <w:rPr/>
        <w:t>de marzo de 2022, de Ampliación de las medidas urgentes para afrontar la emergencia</w:t>
      </w:r>
      <w:r>
        <w:rPr>
          <w:spacing w:val="1"/>
        </w:rPr>
        <w:t> </w:t>
      </w:r>
      <w:r>
        <w:rPr/>
        <w:t>habitacional</w:t>
      </w:r>
      <w:r>
        <w:rPr>
          <w:spacing w:val="-1"/>
        </w:rPr>
        <w:t> </w:t>
      </w:r>
      <w:r>
        <w:rPr/>
        <w:t>que modifica la Ley</w:t>
      </w:r>
      <w:r>
        <w:rPr>
          <w:spacing w:val="-1"/>
        </w:rPr>
        <w:t> </w:t>
      </w:r>
      <w:r>
        <w:rPr/>
        <w:t>24/2015, del 29</w:t>
      </w:r>
      <w:r>
        <w:rPr>
          <w:spacing w:val="-1"/>
        </w:rPr>
        <w:t> </w:t>
      </w:r>
      <w:r>
        <w:rPr/>
        <w:t>de julio.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3"/>
        <w:jc w:val="both"/>
      </w:pPr>
      <w:r>
        <w:rPr>
          <w:rFonts w:ascii="Arial" w:hAnsi="Arial"/>
          <w:b/>
        </w:rPr>
        <w:t>Segundo.- </w:t>
      </w:r>
      <w:r>
        <w:rPr/>
        <w:t>La ley de referencia establece, en su artículo 5.5, que las personas y unidades</w:t>
      </w:r>
      <w:r>
        <w:rPr>
          <w:spacing w:val="1"/>
        </w:rPr>
        <w:t> </w:t>
      </w:r>
      <w:r>
        <w:rPr/>
        <w:t>familiares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riesgo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exclusión</w:t>
      </w:r>
      <w:r>
        <w:rPr>
          <w:spacing w:val="-7"/>
        </w:rPr>
        <w:t> </w:t>
      </w:r>
      <w:r>
        <w:rPr/>
        <w:t>residencial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puedan</w:t>
      </w:r>
      <w:r>
        <w:rPr>
          <w:spacing w:val="-6"/>
        </w:rPr>
        <w:t> </w:t>
      </w:r>
      <w:r>
        <w:rPr/>
        <w:t>afrontar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alquiler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>
          <w:spacing w:val="-1"/>
        </w:rPr>
        <w:t>vivienda</w:t>
      </w:r>
      <w:r>
        <w:rPr>
          <w:spacing w:val="-14"/>
        </w:rPr>
        <w:t> </w:t>
      </w:r>
      <w:r>
        <w:rPr>
          <w:spacing w:val="-1"/>
        </w:rPr>
        <w:t>habitual</w:t>
      </w:r>
      <w:r>
        <w:rPr>
          <w:spacing w:val="-13"/>
        </w:rPr>
        <w:t> </w:t>
      </w:r>
      <w:r>
        <w:rPr>
          <w:spacing w:val="-1"/>
        </w:rPr>
        <w:t>tienen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disfrutar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ayudas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eviten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lanzamiento.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continúa</w:t>
      </w:r>
      <w:r>
        <w:rPr>
          <w:spacing w:val="-59"/>
        </w:rPr>
        <w:t> </w:t>
      </w:r>
      <w:r>
        <w:rPr/>
        <w:t>diciendo en el punto 6 del mismo artículo, que las administraciones públicas, en cualquier</w:t>
      </w:r>
      <w:r>
        <w:rPr>
          <w:spacing w:val="1"/>
        </w:rPr>
        <w:t> </w:t>
      </w:r>
      <w:r>
        <w:rPr>
          <w:spacing w:val="-1"/>
        </w:rPr>
        <w:t>caso,</w:t>
      </w:r>
      <w:r>
        <w:rPr>
          <w:spacing w:val="-15"/>
        </w:rPr>
        <w:t> </w:t>
      </w:r>
      <w:r>
        <w:rPr/>
        <w:t>deben</w:t>
      </w:r>
      <w:r>
        <w:rPr>
          <w:spacing w:val="-15"/>
        </w:rPr>
        <w:t> </w:t>
      </w:r>
      <w:r>
        <w:rPr/>
        <w:t>garantizar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realojo</w:t>
      </w:r>
      <w:r>
        <w:rPr>
          <w:spacing w:val="-14"/>
        </w:rPr>
        <w:t> </w:t>
      </w:r>
      <w:r>
        <w:rPr/>
        <w:t>adecuado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unidades</w:t>
      </w:r>
      <w:r>
        <w:rPr>
          <w:spacing w:val="-14"/>
        </w:rPr>
        <w:t> </w:t>
      </w:r>
      <w:r>
        <w:rPr/>
        <w:t>familiares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situación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riesgo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residencial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desahuciadas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vivienda</w:t>
      </w:r>
      <w:r>
        <w:rPr>
          <w:spacing w:val="-59"/>
        </w:rPr>
        <w:t> </w:t>
      </w:r>
      <w:r>
        <w:rPr/>
        <w:t>habitual.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20" w:right="112" w:hanging="1"/>
        <w:jc w:val="both"/>
        <w:rPr>
          <w:sz w:val="22"/>
        </w:rPr>
      </w:pPr>
      <w:r>
        <w:rPr>
          <w:rFonts w:ascii="Arial" w:hAnsi="Arial"/>
          <w:b/>
          <w:sz w:val="22"/>
        </w:rPr>
        <w:t>Tercero.- </w:t>
      </w:r>
      <w:r>
        <w:rPr>
          <w:sz w:val="22"/>
        </w:rPr>
        <w:t>Sin embargo, la disposición transitoria segunda de la Ley 24/2015 establece que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casos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procedimientos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hipotecaria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desahucio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impago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alquiler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que estén en trámite de sustanciación o de ejecución en el momento de entrada en vigor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 ley y que no estén incluidos en los supuestos a que se refiere el apartado 1, son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aplicables las medidas establecidas por el artículo 5.6 y por el artículo 7</w:t>
      </w:r>
      <w:r>
        <w:rPr>
          <w:sz w:val="22"/>
        </w:rPr>
        <w:t>”. Es decir, 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7"/>
          <w:sz w:val="22"/>
        </w:rPr>
        <w:t> </w:t>
      </w:r>
      <w:r>
        <w:rPr>
          <w:sz w:val="22"/>
        </w:rPr>
        <w:t>debe</w:t>
      </w:r>
      <w:r>
        <w:rPr>
          <w:spacing w:val="-6"/>
          <w:sz w:val="22"/>
        </w:rPr>
        <w:t> </w:t>
      </w:r>
      <w:r>
        <w:rPr>
          <w:sz w:val="22"/>
        </w:rPr>
        <w:t>garantizar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realojo</w:t>
      </w:r>
      <w:r>
        <w:rPr>
          <w:spacing w:val="-6"/>
          <w:sz w:val="22"/>
        </w:rPr>
        <w:t> </w:t>
      </w:r>
      <w:r>
        <w:rPr>
          <w:sz w:val="22"/>
        </w:rPr>
        <w:t>adecuado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encuentren dentro de los parámetros de riesgo de exclusión residencial cuando se dé la</w:t>
      </w:r>
      <w:r>
        <w:rPr>
          <w:spacing w:val="1"/>
          <w:sz w:val="22"/>
        </w:rPr>
        <w:t> </w:t>
      </w:r>
      <w:r>
        <w:rPr>
          <w:sz w:val="22"/>
        </w:rPr>
        <w:t>circunstancia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parte</w:t>
      </w:r>
      <w:r>
        <w:rPr>
          <w:spacing w:val="-4"/>
          <w:sz w:val="22"/>
        </w:rPr>
        <w:t> </w:t>
      </w:r>
      <w:r>
        <w:rPr>
          <w:sz w:val="22"/>
        </w:rPr>
        <w:t>actora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gran</w:t>
      </w:r>
      <w:r>
        <w:rPr>
          <w:spacing w:val="-4"/>
          <w:sz w:val="22"/>
        </w:rPr>
        <w:t> </w:t>
      </w:r>
      <w:r>
        <w:rPr>
          <w:sz w:val="22"/>
        </w:rPr>
        <w:t>tenedor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vivienda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ha</w:t>
      </w:r>
      <w:r>
        <w:rPr>
          <w:spacing w:val="-58"/>
          <w:sz w:val="22"/>
        </w:rPr>
        <w:t> </w:t>
      </w:r>
      <w:r>
        <w:rPr>
          <w:sz w:val="22"/>
        </w:rPr>
        <w:t>adquirido</w:t>
      </w:r>
      <w:r>
        <w:rPr>
          <w:spacing w:val="1"/>
          <w:sz w:val="22"/>
        </w:rPr>
        <w:t> </w:t>
      </w:r>
      <w:r>
        <w:rPr>
          <w:sz w:val="22"/>
        </w:rPr>
        <w:t>viviendas</w:t>
      </w:r>
      <w:r>
        <w:rPr>
          <w:spacing w:val="1"/>
          <w:sz w:val="22"/>
        </w:rPr>
        <w:t> </w:t>
      </w:r>
      <w:r>
        <w:rPr>
          <w:sz w:val="22"/>
        </w:rPr>
        <w:t>después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abril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2008,</w:t>
      </w:r>
      <w:r>
        <w:rPr>
          <w:spacing w:val="1"/>
          <w:sz w:val="22"/>
        </w:rPr>
        <w:t> </w:t>
      </w:r>
      <w:r>
        <w:rPr>
          <w:sz w:val="22"/>
        </w:rPr>
        <w:t>provenientes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ejecuciones</w:t>
      </w:r>
      <w:r>
        <w:rPr>
          <w:spacing w:val="1"/>
          <w:sz w:val="22"/>
        </w:rPr>
        <w:t> </w:t>
      </w:r>
      <w:r>
        <w:rPr>
          <w:sz w:val="22"/>
        </w:rPr>
        <w:t>hipotecarias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acuerdos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compensación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deudas,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compraventas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imposibilidad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devolver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préstamo</w:t>
      </w:r>
      <w:r>
        <w:rPr>
          <w:spacing w:val="-3"/>
          <w:sz w:val="22"/>
        </w:rPr>
        <w:t> </w:t>
      </w:r>
      <w:r>
        <w:rPr>
          <w:sz w:val="22"/>
        </w:rPr>
        <w:t>hipotecario</w:t>
      </w:r>
      <w:r>
        <w:rPr>
          <w:spacing w:val="-2"/>
          <w:sz w:val="22"/>
        </w:rPr>
        <w:t> </w:t>
      </w:r>
      <w:r>
        <w:rPr>
          <w:sz w:val="22"/>
        </w:rPr>
        <w:t>(ya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el demandante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oferta de</w:t>
      </w:r>
      <w:r>
        <w:rPr>
          <w:spacing w:val="-1"/>
          <w:sz w:val="22"/>
        </w:rPr>
        <w:t> </w:t>
      </w:r>
      <w:r>
        <w:rPr>
          <w:sz w:val="22"/>
        </w:rPr>
        <w:t>alquiler</w:t>
      </w:r>
      <w:r>
        <w:rPr>
          <w:spacing w:val="-1"/>
          <w:sz w:val="22"/>
        </w:rPr>
        <w:t> </w:t>
      </w:r>
      <w:r>
        <w:rPr>
          <w:sz w:val="22"/>
        </w:rPr>
        <w:t>social).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>
          <w:rFonts w:ascii="Arial" w:hAnsi="Arial"/>
          <w:b/>
        </w:rPr>
        <w:t>Cuarto.- </w:t>
      </w:r>
      <w:r>
        <w:rPr/>
        <w:t>El artículo 47 de la Constitución (CE) reconoce expresamente el derecho a la</w:t>
      </w:r>
      <w:r>
        <w:rPr>
          <w:spacing w:val="1"/>
        </w:rPr>
        <w:t> </w:t>
      </w:r>
      <w:r>
        <w:rPr/>
        <w:t>vivienda digna y adecuada y lo vincula a la obligación de los poderes públicos de impedir la</w:t>
      </w:r>
      <w:r>
        <w:rPr>
          <w:spacing w:val="1"/>
        </w:rPr>
        <w:t> </w:t>
      </w:r>
      <w:r>
        <w:rPr/>
        <w:t>especulación. A la vez, impone el deber de garantizar que el derecho de propiedad no se</w:t>
      </w:r>
      <w:r>
        <w:rPr>
          <w:spacing w:val="1"/>
        </w:rPr>
        <w:t> </w:t>
      </w:r>
      <w:r>
        <w:rPr/>
        <w:t>ejerza de manera antisocial en el artículo 33, y subordina la riqueza al interés general en su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128.</w:t>
      </w:r>
    </w:p>
    <w:p>
      <w:pPr>
        <w:spacing w:after="0" w:line="276" w:lineRule="auto"/>
        <w:jc w:val="both"/>
        <w:sectPr>
          <w:pgSz w:w="11910" w:h="16840"/>
          <w:pgMar w:header="773" w:footer="0" w:top="1920" w:bottom="280" w:left="1320" w:right="132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 w:before="93"/>
        <w:ind w:left="120" w:right="112"/>
        <w:jc w:val="both"/>
      </w:pPr>
      <w:r>
        <w:rPr/>
        <w:t>Si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47</w:t>
      </w:r>
      <w:r>
        <w:rPr>
          <w:spacing w:val="-3"/>
        </w:rPr>
        <w:t> </w:t>
      </w:r>
      <w:r>
        <w:rPr/>
        <w:t>CE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ubica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"De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Rectores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7"/>
        </w:rPr>
        <w:t> </w:t>
      </w:r>
      <w:r>
        <w:rPr/>
        <w:t>Política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Económica",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línea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reciente</w:t>
      </w:r>
      <w:r>
        <w:rPr>
          <w:spacing w:val="-7"/>
        </w:rPr>
        <w:t> </w:t>
      </w:r>
      <w:r>
        <w:rPr/>
        <w:t>jurisprudencia</w:t>
      </w:r>
      <w:r>
        <w:rPr>
          <w:spacing w:val="-7"/>
        </w:rPr>
        <w:t> </w:t>
      </w:r>
      <w:r>
        <w:rPr/>
        <w:t>nada</w:t>
      </w:r>
      <w:r>
        <w:rPr>
          <w:spacing w:val="-7"/>
        </w:rPr>
        <w:t> </w:t>
      </w:r>
      <w:r>
        <w:rPr/>
        <w:t>impide</w:t>
      </w:r>
      <w:r>
        <w:rPr>
          <w:spacing w:val="-7"/>
        </w:rPr>
        <w:t> </w:t>
      </w:r>
      <w:r>
        <w:rPr/>
        <w:t>reconocer</w:t>
      </w:r>
      <w:r>
        <w:rPr>
          <w:spacing w:val="-58"/>
        </w:rPr>
        <w:t> </w:t>
      </w:r>
      <w:r>
        <w:rPr/>
        <w:t>elementos de fundamentalidad, ya que el derecho a vivienda digna y adecuada está en la</w:t>
      </w:r>
      <w:r>
        <w:rPr>
          <w:spacing w:val="1"/>
        </w:rPr>
        <w:t> </w:t>
      </w:r>
      <w:r>
        <w:rPr/>
        <w:t>norma de mayor rango en nuestro ordenamiento jurídico y definido en el Título I: "De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deberes fundamentales".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120" w:right="114"/>
        <w:jc w:val="both"/>
      </w:pPr>
      <w:r>
        <w:rPr/>
        <w:t>El artículo 148.1.3 de la Constitución otorga a las comunidades autónomas la potestad de</w:t>
      </w:r>
      <w:r>
        <w:rPr>
          <w:spacing w:val="1"/>
        </w:rPr>
        <w:t> </w:t>
      </w:r>
      <w:r>
        <w:rPr/>
        <w:t>asumir competencias en materia de vivienda, que en el caso de Catalunya ha sido asumida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 en el artículo</w:t>
      </w:r>
      <w:r>
        <w:rPr>
          <w:spacing w:val="-1"/>
        </w:rPr>
        <w:t> </w:t>
      </w:r>
      <w:r>
        <w:rPr/>
        <w:t>137 del Estatuto de</w:t>
      </w:r>
      <w:r>
        <w:rPr>
          <w:spacing w:val="-2"/>
        </w:rPr>
        <w:t> </w:t>
      </w:r>
      <w:r>
        <w:rPr/>
        <w:t>Autonomía.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20" w:right="111"/>
        <w:jc w:val="both"/>
      </w:pPr>
      <w:r>
        <w:rPr/>
        <w:t>Y de acuerdo al artículo 5 del Estatuto de Autonomía, todas las personas tienen derecho a</w:t>
      </w:r>
      <w:r>
        <w:rPr>
          <w:spacing w:val="1"/>
        </w:rPr>
        <w:t> </w:t>
      </w:r>
      <w:r>
        <w:rPr/>
        <w:t>vivir</w:t>
      </w:r>
      <w:r>
        <w:rPr>
          <w:spacing w:val="-14"/>
        </w:rPr>
        <w:t> </w:t>
      </w:r>
      <w:r>
        <w:rPr/>
        <w:t>libres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situaciones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explotación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maltrato,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facto</w:t>
      </w:r>
      <w:r>
        <w:rPr>
          <w:spacing w:val="-14"/>
        </w:rPr>
        <w:t> </w:t>
      </w:r>
      <w:r>
        <w:rPr/>
        <w:t>conlleva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falta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vivienda</w:t>
      </w:r>
      <w:r>
        <w:rPr>
          <w:spacing w:val="-59"/>
        </w:rPr>
        <w:t> </w:t>
      </w:r>
      <w:r>
        <w:rPr/>
        <w:t>digna.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19" w:right="112"/>
        <w:jc w:val="both"/>
      </w:pPr>
      <w:r>
        <w:rPr>
          <w:rFonts w:ascii="Arial" w:hAnsi="Arial"/>
          <w:b/>
        </w:rPr>
        <w:t>Quinto.- </w:t>
      </w:r>
      <w:r>
        <w:rPr/>
        <w:t>Los tratados internacionales en materia de Derechos Humanos ratificados por</w:t>
      </w:r>
      <w:r>
        <w:rPr>
          <w:spacing w:val="1"/>
        </w:rPr>
        <w:t> </w:t>
      </w:r>
      <w:r>
        <w:rPr/>
        <w:t>España</w:t>
      </w:r>
      <w:r>
        <w:rPr>
          <w:spacing w:val="-6"/>
        </w:rPr>
        <w:t> </w:t>
      </w:r>
      <w:r>
        <w:rPr/>
        <w:t>forman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ordenamiento</w:t>
      </w:r>
      <w:r>
        <w:rPr>
          <w:spacing w:val="-6"/>
        </w:rPr>
        <w:t> </w:t>
      </w:r>
      <w:r>
        <w:rPr/>
        <w:t>interno,</w:t>
      </w:r>
      <w:r>
        <w:rPr>
          <w:spacing w:val="-7"/>
        </w:rPr>
        <w:t> </w:t>
      </w:r>
      <w:r>
        <w:rPr/>
        <w:t>tal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96.1</w:t>
      </w:r>
      <w:r>
        <w:rPr>
          <w:spacing w:val="-7"/>
        </w:rPr>
        <w:t> </w:t>
      </w:r>
      <w:r>
        <w:rPr/>
        <w:t>CE,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son,</w:t>
      </w:r>
      <w:r>
        <w:rPr>
          <w:spacing w:val="-59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decisivo</w:t>
      </w:r>
      <w:r>
        <w:rPr>
          <w:spacing w:val="1"/>
        </w:rPr>
        <w:t> </w:t>
      </w:r>
      <w:r>
        <w:rPr/>
        <w:t>para la</w:t>
      </w:r>
      <w:r>
        <w:rPr>
          <w:spacing w:val="-59"/>
        </w:rPr>
        <w:t> </w:t>
      </w:r>
      <w:r>
        <w:rPr/>
        <w:t>interpretación de los derechos fundamentales y garantías reconocidas en la Constitución</w:t>
      </w:r>
      <w:r>
        <w:rPr>
          <w:spacing w:val="1"/>
        </w:rPr>
        <w:t> </w:t>
      </w:r>
      <w:r>
        <w:rPr/>
        <w:t>(artículo</w:t>
      </w:r>
      <w:r>
        <w:rPr>
          <w:spacing w:val="-3"/>
        </w:rPr>
        <w:t> </w:t>
      </w:r>
      <w:r>
        <w:rPr/>
        <w:t>10.2</w:t>
      </w:r>
      <w:r>
        <w:rPr>
          <w:spacing w:val="-2"/>
        </w:rPr>
        <w:t> </w:t>
      </w:r>
      <w:r>
        <w:rPr/>
        <w:t>CE).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25/2014,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noviembre,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Tratados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otros</w:t>
      </w:r>
      <w:r>
        <w:rPr>
          <w:spacing w:val="-6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Internacionales,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conflicto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duda</w:t>
      </w:r>
      <w:r>
        <w:rPr>
          <w:spacing w:val="-6"/>
        </w:rPr>
        <w:t> </w:t>
      </w:r>
      <w:r>
        <w:rPr/>
        <w:t>interpretativa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58"/>
        </w:rPr>
        <w:t> </w:t>
      </w:r>
      <w:r>
        <w:rPr/>
        <w:t>norma</w:t>
      </w:r>
      <w:r>
        <w:rPr>
          <w:spacing w:val="-1"/>
        </w:rPr>
        <w:t> </w:t>
      </w:r>
      <w:r>
        <w:rPr/>
        <w:t>de derecho interno,</w:t>
      </w:r>
      <w:r>
        <w:rPr>
          <w:spacing w:val="-1"/>
        </w:rPr>
        <w:t> </w:t>
      </w:r>
      <w:r>
        <w:rPr/>
        <w:t>prevalece el Tratado</w:t>
      </w:r>
      <w:r>
        <w:rPr>
          <w:spacing w:val="-1"/>
        </w:rPr>
        <w:t> </w:t>
      </w:r>
      <w:r>
        <w:rPr/>
        <w:t>internacional.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3"/>
        <w:jc w:val="both"/>
      </w:pPr>
      <w:r>
        <w:rPr/>
        <w:t>El</w:t>
      </w:r>
      <w:r>
        <w:rPr>
          <w:spacing w:val="-14"/>
        </w:rPr>
        <w:t> </w:t>
      </w:r>
      <w:r>
        <w:rPr/>
        <w:t>Pacto</w:t>
      </w:r>
      <w:r>
        <w:rPr>
          <w:spacing w:val="-13"/>
        </w:rPr>
        <w:t> </w:t>
      </w:r>
      <w:r>
        <w:rPr/>
        <w:t>Internacional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Económicos,</w:t>
      </w:r>
      <w:r>
        <w:rPr>
          <w:spacing w:val="-14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Culturales</w:t>
      </w:r>
      <w:r>
        <w:rPr>
          <w:spacing w:val="-13"/>
        </w:rPr>
        <w:t> </w:t>
      </w:r>
      <w:r>
        <w:rPr/>
        <w:t>(PIDESC),</w:t>
      </w:r>
      <w:r>
        <w:rPr>
          <w:spacing w:val="-14"/>
        </w:rPr>
        <w:t> </w:t>
      </w:r>
      <w:r>
        <w:rPr/>
        <w:t>firmado</w:t>
      </w:r>
      <w:r>
        <w:rPr>
          <w:spacing w:val="-13"/>
        </w:rPr>
        <w:t> </w:t>
      </w:r>
      <w:r>
        <w:rPr/>
        <w:t>por</w:t>
      </w:r>
      <w:r>
        <w:rPr>
          <w:spacing w:val="-58"/>
        </w:rPr>
        <w:t> </w:t>
      </w:r>
      <w:r>
        <w:rPr/>
        <w:t>España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2008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2013,</w:t>
      </w:r>
      <w:r>
        <w:rPr>
          <w:spacing w:val="-8"/>
        </w:rPr>
        <w:t> </w:t>
      </w:r>
      <w:r>
        <w:rPr/>
        <w:t>reconoce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vivienda</w:t>
      </w:r>
      <w:r>
        <w:rPr>
          <w:spacing w:val="-8"/>
        </w:rPr>
        <w:t> </w:t>
      </w:r>
      <w:r>
        <w:rPr/>
        <w:t>digna</w:t>
      </w:r>
      <w:r>
        <w:rPr>
          <w:spacing w:val="-58"/>
        </w:rPr>
        <w:t> </w:t>
      </w:r>
      <w:r>
        <w:rPr/>
        <w:t>en el artículo 11; y en virtud del Protocolo Facultativo, los países adheridos se someten a 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adopte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DESC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en el PIDESC.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3"/>
        <w:jc w:val="both"/>
      </w:pPr>
      <w:r>
        <w:rPr/>
        <w:t>Por su parte, la Observación General núm. 7 del Comité de Derechos Económicos, Sociales</w:t>
      </w:r>
      <w:r>
        <w:rPr>
          <w:spacing w:val="-59"/>
        </w:rPr>
        <w:t> </w:t>
      </w:r>
      <w:r>
        <w:rPr/>
        <w:t>y Culturales incorpora como contenido del derecho a la vivienda la protección contra los</w:t>
      </w:r>
      <w:r>
        <w:rPr>
          <w:spacing w:val="1"/>
        </w:rPr>
        <w:t> </w:t>
      </w:r>
      <w:r>
        <w:rPr/>
        <w:t>desahucios forzosos, introduciendo condicionantes y límites; y la obligación de los poderes</w:t>
      </w:r>
      <w:r>
        <w:rPr>
          <w:spacing w:val="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realojo</w:t>
      </w:r>
      <w:r>
        <w:rPr>
          <w:spacing w:val="-1"/>
        </w:rPr>
        <w:t> </w:t>
      </w:r>
      <w:r>
        <w:rPr/>
        <w:t>adecuado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2"/>
        <w:jc w:val="both"/>
      </w:pPr>
      <w:r>
        <w:rPr>
          <w:rFonts w:ascii="Arial" w:hAnsi="Arial"/>
          <w:b/>
        </w:rPr>
        <w:t>Sexto.- </w:t>
      </w:r>
      <w:r>
        <w:rPr/>
        <w:t>El Dictamen del Comité DESC de Naciones Unidas, de fecha 20 de junio de 2017,</w:t>
      </w:r>
      <w:r>
        <w:rPr>
          <w:spacing w:val="1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5/2015,</w:t>
      </w:r>
      <w:r>
        <w:rPr>
          <w:spacing w:val="-5"/>
        </w:rPr>
        <w:t> </w:t>
      </w:r>
      <w:r>
        <w:rPr/>
        <w:t>declara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vulneración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vivienda,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condena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España,</w:t>
      </w:r>
      <w:r>
        <w:rPr>
          <w:spacing w:val="-59"/>
        </w:rPr>
        <w:t> </w:t>
      </w:r>
      <w:r>
        <w:rPr/>
        <w:t>por no impedir un desahucio sin alternativa habitacional, dictamen vinculante que obliga a la</w:t>
      </w:r>
      <w:r>
        <w:rPr>
          <w:spacing w:val="-59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del lanzamiento.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19" w:right="114"/>
        <w:jc w:val="both"/>
      </w:pPr>
      <w:r>
        <w:rPr/>
        <w:t>La</w:t>
      </w:r>
      <w:r>
        <w:rPr>
          <w:spacing w:val="-13"/>
        </w:rPr>
        <w:t> </w:t>
      </w:r>
      <w:r>
        <w:rPr/>
        <w:t>cuestión</w:t>
      </w:r>
      <w:r>
        <w:rPr>
          <w:spacing w:val="-14"/>
        </w:rPr>
        <w:t> </w:t>
      </w:r>
      <w:r>
        <w:rPr/>
        <w:t>esencial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plantea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Comunicación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si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desalojo</w:t>
      </w:r>
      <w:r>
        <w:rPr>
          <w:spacing w:val="-14"/>
        </w:rPr>
        <w:t> </w:t>
      </w:r>
      <w:r>
        <w:rPr/>
        <w:t>sin</w:t>
      </w:r>
      <w:r>
        <w:rPr>
          <w:spacing w:val="-13"/>
        </w:rPr>
        <w:t> </w:t>
      </w:r>
      <w:r>
        <w:rPr/>
        <w:t>alternativa</w:t>
      </w:r>
      <w:r>
        <w:rPr>
          <w:spacing w:val="-13"/>
        </w:rPr>
        <w:t> </w:t>
      </w:r>
      <w:r>
        <w:rPr/>
        <w:t>habitacional</w:t>
      </w:r>
      <w:r>
        <w:rPr>
          <w:spacing w:val="-59"/>
        </w:rPr>
        <w:t> </w:t>
      </w:r>
      <w:r>
        <w:rPr/>
        <w:t>supone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violación del derecho</w:t>
      </w:r>
      <w:r>
        <w:rPr>
          <w:spacing w:val="-1"/>
        </w:rPr>
        <w:t> </w:t>
      </w:r>
      <w:r>
        <w:rPr/>
        <w:t>a una vivienda</w:t>
      </w:r>
      <w:r>
        <w:rPr>
          <w:spacing w:val="-1"/>
        </w:rPr>
        <w:t> </w:t>
      </w:r>
      <w:r>
        <w:rPr/>
        <w:t>adecuada.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1"/>
        <w:ind w:left="119" w:right="110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El Dictamen del Comité DESC resuelve este asunto en el siguiente sentido: </w:t>
      </w:r>
      <w:r>
        <w:rPr>
          <w:rFonts w:ascii="Arial" w:hAnsi="Arial"/>
          <w:i/>
          <w:sz w:val="22"/>
        </w:rPr>
        <w:t>“El 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humano a una vivienda adecuada es un derecho fundamental que constituye la base para el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disfrute de todos los derecho económicos, sociales y culturales (Observación núm. 4) y está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vinculado en su integridad a otros derechos humanos, incluyendo los del Pacto Internacional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Civiles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Políticos.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vivienda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garantizar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todos,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sean</w:t>
      </w:r>
    </w:p>
    <w:p>
      <w:pPr>
        <w:spacing w:after="0" w:line="276" w:lineRule="auto"/>
        <w:jc w:val="both"/>
        <w:rPr>
          <w:rFonts w:ascii="Arial" w:hAnsi="Arial"/>
          <w:sz w:val="22"/>
        </w:rPr>
        <w:sectPr>
          <w:pgSz w:w="11910" w:h="16840"/>
          <w:pgMar w:header="773" w:footer="0" w:top="1920" w:bottom="280" w:left="1320" w:right="1320"/>
        </w:sectPr>
      </w:pP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line="276" w:lineRule="auto" w:before="93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cuales fueren sus ingresos o su acceso a recursos económicos, y los Estados partes deben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tomar todas las medidas que sean necesarias para lograr la plena realización de este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hasta el máximo de sus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recursos disponibles.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276" w:lineRule="auto" w:before="1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Todas las personas deben gozar de cierto grado de seguridad de tenencia que les garantice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una protección legal contra el desahucio, el hostigamiento u otras amenazas. Esta 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 aplica también a las personas que viven en viviendas alquiladas, ya sean públicas 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privadas.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276" w:lineRule="auto" w:before="0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Los desalojos forzados son “prima facie” incompatibles con los requisitos del Pacto, y solo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podrán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justificarse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circunstancias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más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excepcionales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conformidad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principios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pertinentes al derecho internacional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276" w:lineRule="auto" w:before="1"/>
        <w:ind w:left="120" w:right="114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No puede haber un derecho sin un recurso efectivo y, por tanto, los Estados partes deben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garantizar que las personas cuyo derecho a la vivienda adecuada pudiera ser afectado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dispongan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un recurso judicial efectivo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y apropiado (...)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276" w:lineRule="auto" w:before="0"/>
        <w:ind w:left="120" w:right="11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Estados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partes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solo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tiene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obligación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respetar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derechos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Pacto,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cual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deben abstenerse de infringirlos, sino que también tienen la obligación de protegerlos. Si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Estado parte no toma las medidas adecuadas de protección de un derecho del Pacto,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compromete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responsabilidad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incluso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si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dio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origen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afectación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fue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impulsada por un individuo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 una entidad privada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(…).</w:t>
      </w:r>
      <w:r>
        <w:rPr>
          <w:sz w:val="22"/>
        </w:rPr>
        <w:t>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/>
        <w:t>En definitiva, de acuerdo con el reciente Dictamen, y la citada obligación que impone a la</w:t>
      </w:r>
      <w:r>
        <w:rPr>
          <w:spacing w:val="1"/>
        </w:rPr>
        <w:t> </w:t>
      </w:r>
      <w:r>
        <w:rPr/>
        <w:t>Administración la Ley 24/2015, no se debería ejecutar un desahucio si los afectados se</w:t>
      </w:r>
      <w:r>
        <w:rPr>
          <w:spacing w:val="1"/>
        </w:rPr>
        <w:t> </w:t>
      </w:r>
      <w:r>
        <w:rPr/>
        <w:t>quedan</w:t>
      </w:r>
      <w:r>
        <w:rPr>
          <w:spacing w:val="-1"/>
        </w:rPr>
        <w:t> </w:t>
      </w:r>
      <w:r>
        <w:rPr/>
        <w:t>sin techo.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0" w:right="114"/>
        <w:jc w:val="both"/>
      </w:pPr>
      <w:r>
        <w:rPr>
          <w:rFonts w:ascii="Arial" w:hAnsi="Arial"/>
          <w:b/>
        </w:rPr>
        <w:t>Séptimo.- </w:t>
      </w:r>
      <w:r>
        <w:rPr/>
        <w:t>En el mismo sentido se pronunció el Tribunal Supremo en sentencia de fecha 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"juicio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proporcionalidad",</w:t>
      </w:r>
      <w:r>
        <w:rPr>
          <w:spacing w:val="-60"/>
        </w:rPr>
        <w:t> </w:t>
      </w:r>
      <w:r>
        <w:rPr/>
        <w:t>recogiendo la doctrina constitucional y del Tribunal Europeo de Derechos Humanos, en</w:t>
      </w:r>
      <w:r>
        <w:rPr>
          <w:spacing w:val="1"/>
        </w:rPr>
        <w:t> </w:t>
      </w:r>
      <w:r>
        <w:rPr/>
        <w:t>congruencia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 Internacionales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Humanos: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20" w:right="11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"Procede, asimismo, poner de relieve que, conforme a la consolidada doctrina del Tribunal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expuesta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sentencias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50/1995,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23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febrero,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69/1999,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26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y 188/2013, de 4 de noviembre, la resolución judicial por la que se autoriza la entrada en un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estar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debidamente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motivada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y,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consecuentemente,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cumplir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función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garantía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inviolabilidad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corresponde,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modo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pueda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comprobarse que se ha autorizado la entrada tras efectuar una ponderación de los distintos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derechos e intereses que pueden verse afectados y adoptando las cautelas precisas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 la limitación del derecho fundamental que la misma implica se efectúe del modo menos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restrictivo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posible.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276" w:lineRule="auto" w:before="0"/>
        <w:ind w:left="120" w:right="1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Asimismo,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refiere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Tribunal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Constitucional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citadas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sentencias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"el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órgano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jurisdiccional debe velar por la proporcionalidad de la medida interesada, de modo tal que 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entrada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domicilio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absolutamente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indispensable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ejecución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administrativo.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Pues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será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juicio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proporcionalidad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‒al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expresamente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remiten</w:t>
      </w:r>
    </w:p>
    <w:p>
      <w:pPr>
        <w:spacing w:after="0" w:line="276" w:lineRule="auto"/>
        <w:jc w:val="both"/>
        <w:rPr>
          <w:rFonts w:ascii="Arial" w:hAnsi="Arial"/>
          <w:sz w:val="22"/>
        </w:rPr>
        <w:sectPr>
          <w:pgSz w:w="11910" w:h="16840"/>
          <w:pgMar w:header="773" w:footer="0" w:top="1920" w:bottom="280" w:left="1320" w:right="1320"/>
        </w:sectPr>
      </w:pP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line="276" w:lineRule="auto" w:before="93"/>
        <w:ind w:left="119" w:right="11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nuestras sentencias 50/1995 y 69/1999, como canon de enjuiciamiento de la licitud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autorización judicial de entrada en el domicilio‒ en el de haberse respetado, no se producirá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vulneración del derecho fundamental."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BodyText"/>
        <w:spacing w:line="276" w:lineRule="auto" w:before="1"/>
        <w:ind w:left="119" w:right="112"/>
        <w:jc w:val="both"/>
      </w:pP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concurren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doble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habitacional</w:t>
      </w:r>
      <w:r>
        <w:rPr>
          <w:spacing w:val="-5"/>
        </w:rPr>
        <w:t> </w:t>
      </w:r>
      <w:r>
        <w:rPr/>
        <w:t>propia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riesgo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residencial.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5.10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 Ley 24/2015, del 29 de julio, define que se encuentran en riesgo de exclusión residencial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unidades</w:t>
      </w:r>
      <w:r>
        <w:rPr>
          <w:spacing w:val="-6"/>
        </w:rPr>
        <w:t> </w:t>
      </w:r>
      <w:r>
        <w:rPr/>
        <w:t>familiares</w:t>
      </w:r>
      <w:r>
        <w:rPr>
          <w:spacing w:val="-5"/>
        </w:rPr>
        <w:t> </w:t>
      </w:r>
      <w:r>
        <w:rPr/>
        <w:t>siempre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tengan</w:t>
      </w:r>
      <w:r>
        <w:rPr>
          <w:spacing w:val="-5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inferiores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veces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IRSC</w:t>
      </w:r>
      <w:r>
        <w:rPr>
          <w:spacing w:val="-58"/>
        </w:rPr>
        <w:t> </w:t>
      </w:r>
      <w:r>
        <w:rPr/>
        <w:t>si se trata de personas que viven solas; o si se trata de unidades de convivencia, unos</w:t>
      </w:r>
      <w:r>
        <w:rPr>
          <w:spacing w:val="1"/>
        </w:rPr>
        <w:t> </w:t>
      </w:r>
      <w:r>
        <w:rPr/>
        <w:t>ingresos inferiores a 2,5 veces el IRSC; y en los casos de personas con discapacidades 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gran dependencia,</w:t>
      </w:r>
      <w:r>
        <w:rPr>
          <w:spacing w:val="-1"/>
        </w:rPr>
        <w:t> </w:t>
      </w:r>
      <w:r>
        <w:rPr/>
        <w:t>unos</w:t>
      </w:r>
      <w:r>
        <w:rPr>
          <w:spacing w:val="-1"/>
        </w:rPr>
        <w:t> </w:t>
      </w:r>
      <w:r>
        <w:rPr/>
        <w:t>ingresos inferiores a</w:t>
      </w:r>
      <w:r>
        <w:rPr>
          <w:spacing w:val="-1"/>
        </w:rPr>
        <w:t> </w:t>
      </w:r>
      <w:r>
        <w:rPr/>
        <w:t>3 veces el IRSC.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19" w:right="113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correspondientes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nuestro</w:t>
      </w:r>
      <w:r>
        <w:rPr>
          <w:spacing w:val="-10"/>
        </w:rPr>
        <w:t> </w:t>
      </w:r>
      <w:r>
        <w:rPr/>
        <w:t>caso,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subsidiariamente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realojo</w:t>
      </w:r>
      <w:r>
        <w:rPr>
          <w:spacing w:val="-10"/>
        </w:rPr>
        <w:t> </w:t>
      </w:r>
      <w:r>
        <w:rPr/>
        <w:t>adecuado,</w:t>
      </w:r>
      <w:r>
        <w:rPr>
          <w:spacing w:val="-12"/>
        </w:rPr>
        <w:t> </w:t>
      </w:r>
      <w:r>
        <w:rPr/>
        <w:t>dado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imperativo</w:t>
      </w:r>
      <w:r>
        <w:rPr>
          <w:spacing w:val="-59"/>
        </w:rPr>
        <w:t> </w:t>
      </w:r>
      <w:r>
        <w:rPr/>
        <w:t>legal por el que la Administración ha de realojar a las personas y unidades familiares en</w:t>
      </w:r>
      <w:r>
        <w:rPr>
          <w:spacing w:val="1"/>
        </w:rPr>
        <w:t> </w:t>
      </w:r>
      <w:r>
        <w:rPr/>
        <w:t>proceso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desahuciadas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vivienda</w:t>
      </w:r>
      <w:r>
        <w:rPr>
          <w:spacing w:val="-8"/>
        </w:rPr>
        <w:t> </w:t>
      </w:r>
      <w:r>
        <w:rPr/>
        <w:t>habitual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riesgo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exclusión</w:t>
      </w:r>
      <w:r>
        <w:rPr>
          <w:spacing w:val="-6"/>
        </w:rPr>
        <w:t> </w:t>
      </w:r>
      <w:r>
        <w:rPr/>
        <w:t>residencial.</w:t>
      </w:r>
      <w:r>
        <w:rPr>
          <w:spacing w:val="-7"/>
        </w:rPr>
        <w:t> </w:t>
      </w:r>
      <w:r>
        <w:rPr/>
        <w:t>En</w:t>
      </w:r>
      <w:r>
        <w:rPr>
          <w:spacing w:val="-59"/>
        </w:rPr>
        <w:t> </w:t>
      </w:r>
      <w:r>
        <w:rPr/>
        <w:t>congruencia con esta obligación y las anteriores alegaciones, el principio de precaución</w:t>
      </w:r>
      <w:r>
        <w:rPr>
          <w:spacing w:val="1"/>
        </w:rPr>
        <w:t> </w:t>
      </w:r>
      <w:r>
        <w:rPr/>
        <w:t>aconseja</w:t>
      </w:r>
      <w:r>
        <w:rPr>
          <w:spacing w:val="-9"/>
        </w:rPr>
        <w:t> </w:t>
      </w:r>
      <w:r>
        <w:rPr/>
        <w:t>suspender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alternativa</w:t>
      </w:r>
      <w:r>
        <w:rPr>
          <w:spacing w:val="-9"/>
        </w:rPr>
        <w:t> </w:t>
      </w:r>
      <w:r>
        <w:rPr/>
        <w:t>habitacional</w:t>
      </w:r>
      <w:r>
        <w:rPr>
          <w:spacing w:val="-9"/>
        </w:rPr>
        <w:t> </w:t>
      </w:r>
      <w:r>
        <w:rPr/>
        <w:t>para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 familiar.</w:t>
      </w:r>
    </w:p>
    <w:p>
      <w:pPr>
        <w:pStyle w:val="BodyText"/>
        <w:rPr>
          <w:sz w:val="21"/>
        </w:rPr>
      </w:pPr>
    </w:p>
    <w:p>
      <w:pPr>
        <w:pStyle w:val="BodyText"/>
        <w:ind w:left="119"/>
        <w:jc w:val="both"/>
      </w:pP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acaba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exponer,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 w:before="1"/>
        <w:ind w:left="119" w:right="113"/>
        <w:jc w:val="both"/>
      </w:pPr>
      <w:r>
        <w:rPr>
          <w:rFonts w:ascii="Arial"/>
          <w:b/>
          <w:spacing w:val="-1"/>
        </w:rPr>
        <w:t>AL</w:t>
      </w:r>
      <w:r>
        <w:rPr>
          <w:rFonts w:ascii="Arial"/>
          <w:b/>
          <w:spacing w:val="-15"/>
        </w:rPr>
        <w:t> </w:t>
      </w:r>
      <w:r>
        <w:rPr>
          <w:rFonts w:ascii="Arial"/>
          <w:b/>
          <w:spacing w:val="-1"/>
        </w:rPr>
        <w:t>JUZGADO</w:t>
      </w:r>
      <w:r>
        <w:rPr>
          <w:rFonts w:ascii="Arial"/>
          <w:b/>
          <w:spacing w:val="-13"/>
        </w:rPr>
        <w:t> </w:t>
      </w:r>
      <w:r>
        <w:rPr>
          <w:rFonts w:ascii="Arial"/>
          <w:b/>
          <w:spacing w:val="-1"/>
        </w:rPr>
        <w:t>SOLICITO</w:t>
      </w:r>
      <w:r>
        <w:rPr>
          <w:rFonts w:ascii="Arial"/>
          <w:b/>
          <w:spacing w:val="-13"/>
        </w:rPr>
        <w:t> </w:t>
      </w:r>
      <w:r>
        <w:rPr>
          <w:spacing w:val="-1"/>
        </w:rPr>
        <w:t>tenga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/>
        <w:t>presentado</w:t>
      </w:r>
      <w:r>
        <w:rPr>
          <w:spacing w:val="-13"/>
        </w:rPr>
        <w:t> </w:t>
      </w:r>
      <w:r>
        <w:rPr/>
        <w:t>este</w:t>
      </w:r>
      <w:r>
        <w:rPr>
          <w:spacing w:val="-13"/>
        </w:rPr>
        <w:t> </w:t>
      </w:r>
      <w:r>
        <w:rPr/>
        <w:t>escrito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hechas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manifestaciones</w:t>
      </w:r>
      <w:r>
        <w:rPr>
          <w:spacing w:val="-59"/>
        </w:rPr>
        <w:t> </w:t>
      </w:r>
      <w:r>
        <w:rPr/>
        <w:t>contenidas,</w:t>
      </w:r>
      <w:r>
        <w:rPr>
          <w:spacing w:val="-2"/>
        </w:rPr>
        <w:t> </w:t>
      </w:r>
      <w:r>
        <w:rPr/>
        <w:t>lo admita y: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19" w:right="112"/>
        <w:jc w:val="both"/>
      </w:pPr>
      <w:r>
        <w:rPr/>
        <w:t>1.- Proceda al preceptivo juicio de proporcionalidad sobre las circunstancias que concurren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caso.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20" w:right="113" w:hanging="1"/>
        <w:jc w:val="both"/>
      </w:pPr>
      <w:r>
        <w:rPr/>
        <w:t>2.- </w:t>
      </w:r>
      <w:r>
        <w:rPr>
          <w:u w:val="single"/>
        </w:rPr>
        <w:t>Acuerde la suspensión inmediata del procedimiento</w:t>
      </w:r>
      <w:r>
        <w:rPr/>
        <w:t> en curso hasta que la actora haga la</w:t>
      </w:r>
      <w:r>
        <w:rPr>
          <w:spacing w:val="1"/>
        </w:rPr>
        <w:t> </w:t>
      </w:r>
      <w:r>
        <w:rPr/>
        <w:t>imperativa oferta de alquiler social en los términos que establece la Ley 24/2015, del 29 de</w:t>
      </w:r>
      <w:r>
        <w:rPr>
          <w:spacing w:val="1"/>
        </w:rPr>
        <w:t> </w:t>
      </w:r>
      <w:r>
        <w:rPr/>
        <w:t>julio,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garantizada</w:t>
      </w:r>
      <w:r>
        <w:rPr>
          <w:spacing w:val="-1"/>
        </w:rPr>
        <w:t> </w:t>
      </w:r>
      <w:r>
        <w:rPr/>
        <w:t>alternativa</w:t>
      </w:r>
      <w:r>
        <w:rPr>
          <w:spacing w:val="-1"/>
        </w:rPr>
        <w:t> </w:t>
      </w:r>
      <w:r>
        <w:rPr/>
        <w:t>habitacional.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76" w:lineRule="auto"/>
        <w:ind w:left="120" w:right="111"/>
        <w:jc w:val="both"/>
      </w:pPr>
      <w:r>
        <w:rPr>
          <w:rFonts w:ascii="Arial" w:hAnsi="Arial"/>
          <w:b/>
        </w:rPr>
        <w:t>ASIMISMO, DIGO: </w:t>
      </w:r>
      <w:r>
        <w:rPr/>
        <w:t>Que en el supuesto de se considere que este escrito debe presentarse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abogado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procurador,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a efectos de solicitud de Justicia Gratuita o presentación por letrado de oficio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me represente.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20"/>
        <w:jc w:val="both"/>
      </w:pPr>
      <w:r>
        <w:rPr/>
        <w:t>Localidad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fecha</w:t>
      </w:r>
    </w:p>
    <w:sectPr>
      <w:pgSz w:w="11910" w:h="16840"/>
      <w:pgMar w:header="773" w:footer="0" w:top="19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941832</wp:posOffset>
          </wp:positionH>
          <wp:positionV relativeFrom="page">
            <wp:posOffset>490588</wp:posOffset>
          </wp:positionV>
          <wp:extent cx="737616" cy="7287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616" cy="728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jc w:val="both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424" w:right="1421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</dc:creator>
  <dc:title>Microsoft Word - Solicitud suspensión hasta realojo adecuado de la Administración - CAST</dc:title>
  <dcterms:created xsi:type="dcterms:W3CDTF">2022-03-22T23:21:33Z</dcterms:created>
  <dcterms:modified xsi:type="dcterms:W3CDTF">2022-03-22T23:21:33Z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2022-03-22T00:00:00Z</vt:filetime>
  </property>
</Properties>
</file>