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before="93"/>
        <w:ind w:left="1653" w:right="1650"/>
        <w:jc w:val="center"/>
      </w:pPr>
      <w:r>
        <w:rPr>
          <w:u w:val="single"/>
        </w:rPr>
        <w:t>Solicitud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alquiler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1"/>
          <w:u w:val="single"/>
        </w:rPr>
        <w:t> </w:t>
      </w:r>
      <w:r>
        <w:rPr>
          <w:u w:val="single"/>
        </w:rPr>
        <w:t>caso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finalización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alquiler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3"/>
        <w:ind w:left="120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Propiedad: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spacing w:before="93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72pt;margin-top:12.225071pt;width:140.75pt;height:.1pt;mso-position-horizontal-relative:page;mso-position-vertical-relative:paragraph;z-index:-15728640;mso-wrap-distance-left:0;mso-wrap-distance-right:0" coordorigin="1440,245" coordsize="2815,0" path="m1440,245l4254,245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667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spacing w:before="1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BodyText"/>
        <w:spacing w:line="276" w:lineRule="auto" w:before="93"/>
        <w:ind w:left="120" w:right="11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ajenos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incapacitados de acceder al mercado de la vivienda tras el vencimiento de la duración del</w:t>
      </w:r>
      <w:r>
        <w:rPr>
          <w:spacing w:val="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jurídico que habilitaba la</w:t>
      </w:r>
      <w:r>
        <w:rPr>
          <w:spacing w:val="-1"/>
        </w:rPr>
        <w:t> </w:t>
      </w:r>
      <w:r>
        <w:rPr/>
        <w:t>ocupación de la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151" w:val="left" w:leader="none"/>
        </w:tabs>
        <w:spacing w:line="276" w:lineRule="auto"/>
        <w:ind w:left="120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actualidad</w:t>
      </w:r>
      <w:r>
        <w:rPr>
          <w:rFonts w:ascii="Times New Roman" w:hAnsi="Times New Roman"/>
          <w:u w:val="single"/>
        </w:rPr>
        <w:tab/>
      </w:r>
      <w:r>
        <w:rPr/>
        <w:t>son parte</w:t>
      </w:r>
      <w:r>
        <w:rPr>
          <w:spacing w:val="-58"/>
        </w:rPr>
        <w:t> </w:t>
      </w:r>
      <w:r>
        <w:rPr/>
        <w:t>demandada en procedimiento de desahucio por expiración del plazo contractual, promovido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interposición de</w:t>
      </w:r>
      <w:r>
        <w:rPr>
          <w:spacing w:val="-1"/>
        </w:rPr>
        <w:t> </w:t>
      </w:r>
      <w:r>
        <w:rPr/>
        <w:t>demanda por su parte.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Tercero.- </w:t>
      </w:r>
      <w:r>
        <w:rPr/>
        <w:t>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 Que, después del desistimiento parcial del recurso de inconstitucionalidad núm.</w:t>
      </w:r>
      <w:r>
        <w:rPr>
          <w:spacing w:val="1"/>
        </w:rPr>
        <w:t> </w:t>
      </w:r>
      <w:r>
        <w:rPr/>
        <w:t>2501-2016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BOE,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20" w:right="115"/>
        <w:jc w:val="both"/>
      </w:pPr>
      <w:r>
        <w:rPr/>
        <w:t>Que el 23 de febrero de 2022 entró en vigor la Ley 1/2022, del 03 de marzo del 2022, de</w:t>
      </w:r>
      <w:r>
        <w:rPr>
          <w:spacing w:val="1"/>
        </w:rPr>
        <w:t> </w:t>
      </w:r>
      <w:r>
        <w:rPr/>
        <w:t>Ampliación de medidas urgentes para hacer frente a la emergencia habitacional, que 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24/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afrontar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120" w:right="112" w:hanging="1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7"/>
        </w:rPr>
        <w:t> </w:t>
      </w:r>
      <w:r>
        <w:rPr/>
        <w:t>Que,</w:t>
      </w:r>
      <w:r>
        <w:rPr>
          <w:spacing w:val="-6"/>
        </w:rPr>
        <w:t> </w:t>
      </w:r>
      <w:r>
        <w:rPr/>
        <w:t>tras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modificación,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julio,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59"/>
        </w:rPr>
        <w:t> </w:t>
      </w:r>
      <w:r>
        <w:rPr/>
        <w:t>primera, hace extensiva la obligación de la propiedad a ofrecer una propuesta de alquiler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desahucio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5.2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supuestos de vencimiento de título jurídico que habilita la ocupación de la vivienda, cuando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demandante</w:t>
      </w:r>
      <w:r>
        <w:rPr>
          <w:spacing w:val="-1"/>
        </w:rPr>
        <w:t> </w:t>
      </w:r>
      <w:r>
        <w:rPr/>
        <w:t>tenga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tenedor,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</w:p>
    <w:p>
      <w:pPr>
        <w:pStyle w:val="BodyText"/>
        <w:spacing w:line="276" w:lineRule="auto"/>
        <w:ind w:left="120" w:right="114"/>
        <w:jc w:val="both"/>
      </w:pPr>
      <w:r>
        <w:rPr/>
        <w:t>5. Esta obligación recae en su entidad, siempre que el procedimiento afecte a personas o</w:t>
      </w:r>
      <w:r>
        <w:rPr>
          <w:spacing w:val="1"/>
        </w:rPr>
        <w:t> </w:t>
      </w:r>
      <w:r>
        <w:rPr/>
        <w:t>unidades familiares que no tengan alternativa de vivienda propia y se encuentren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parámetros de 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 residencial (art. 5.10).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204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 10%</w:t>
      </w:r>
      <w:r>
        <w:rPr>
          <w:spacing w:val="-59"/>
          <w:sz w:val="22"/>
        </w:rPr>
        <w:t> </w:t>
      </w:r>
      <w:r>
        <w:rPr>
          <w:sz w:val="22"/>
        </w:rPr>
        <w:t>de los ingresos ponderados de la unidad familiar, si están por debajo del 0,89 del indicador</w:t>
      </w:r>
      <w:r>
        <w:rPr>
          <w:spacing w:val="1"/>
          <w:sz w:val="22"/>
        </w:rPr>
        <w:t> </w:t>
      </w:r>
      <w:r>
        <w:rPr>
          <w:sz w:val="22"/>
        </w:rPr>
        <w:t>de renta de suficiencia (IRSC); o el 12% de los ingresos ponderados de la unidad familiar, si</w:t>
      </w:r>
      <w:r>
        <w:rPr>
          <w:spacing w:val="-59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debajo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0,95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IRSC;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18%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ingresos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ponderados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unidad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familiar,</w:t>
      </w:r>
      <w:r>
        <w:rPr>
          <w:spacing w:val="-55"/>
          <w:w w:val="95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son iguales o superiores al 0,95 del IRSC.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alternativamente, una vivienda situada dentro del mismo término municipal, salvo que se</w:t>
      </w:r>
      <w:r>
        <w:rPr>
          <w:spacing w:val="1"/>
          <w:sz w:val="22"/>
        </w:rPr>
        <w:t> </w:t>
      </w:r>
      <w:r>
        <w:rPr>
          <w:sz w:val="22"/>
        </w:rPr>
        <w:t>disponga de un informe de los Servicios Sociales municipales que acredite que el traslado a</w:t>
      </w:r>
      <w:r>
        <w:rPr>
          <w:spacing w:val="1"/>
          <w:sz w:val="22"/>
        </w:rPr>
        <w:t> </w:t>
      </w:r>
      <w:r>
        <w:rPr>
          <w:sz w:val="22"/>
        </w:rPr>
        <w:t>otro término municipal no va afectar negativamente a la situación de riesgo de exclusión</w:t>
      </w:r>
      <w:r>
        <w:rPr>
          <w:spacing w:val="1"/>
          <w:sz w:val="22"/>
        </w:rPr>
        <w:t> </w:t>
      </w: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 la unidad</w:t>
      </w:r>
      <w:r>
        <w:rPr>
          <w:spacing w:val="-1"/>
          <w:sz w:val="22"/>
        </w:rPr>
        <w:t> </w:t>
      </w:r>
      <w:r>
        <w:rPr>
          <w:sz w:val="22"/>
        </w:rPr>
        <w:t>familiar.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Debe ser como mínimo por el período de duración legalmente establecido en la normativa</w:t>
      </w:r>
      <w:r>
        <w:rPr>
          <w:spacing w:val="-59"/>
          <w:sz w:val="22"/>
        </w:rPr>
        <w:t> </w:t>
      </w:r>
      <w:r>
        <w:rPr>
          <w:sz w:val="22"/>
        </w:rPr>
        <w:t>vigente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mínimo</w:t>
      </w:r>
      <w:r>
        <w:rPr>
          <w:spacing w:val="-6"/>
          <w:sz w:val="22"/>
        </w:rPr>
        <w:t> </w:t>
      </w:r>
      <w:r>
        <w:rPr>
          <w:sz w:val="22"/>
        </w:rPr>
        <w:t>cinco</w:t>
      </w:r>
      <w:r>
        <w:rPr>
          <w:spacing w:val="-7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físicas;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siete</w:t>
      </w:r>
      <w:r>
        <w:rPr>
          <w:spacing w:val="-8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jurídicas.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afectado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y ha incumplido con</w:t>
      </w:r>
      <w:r>
        <w:rPr>
          <w:spacing w:val="-1"/>
        </w:rPr>
        <w:t> </w:t>
      </w:r>
      <w:r>
        <w:rPr/>
        <w:t>este imperativo 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Sexto</w:t>
      </w:r>
      <w:r>
        <w:rPr/>
        <w:t>.- Que, de acuerdo con la Disposición transitoria de la Ley 1/2022, del 03 de marzo de</w:t>
      </w:r>
      <w:r>
        <w:rPr>
          <w:spacing w:val="-59"/>
        </w:rPr>
        <w:t> </w:t>
      </w:r>
      <w:r>
        <w:rPr/>
        <w:t>2022, la obligación de ofrecer un alquiler social a la que hace referencia la Disposición</w:t>
      </w:r>
      <w:r>
        <w:rPr>
          <w:spacing w:val="1"/>
        </w:rPr>
        <w:t> </w:t>
      </w:r>
      <w:r>
        <w:rPr/>
        <w:t>adicional primera de la Ley 24/2015 es aplicable también en caso de que los procedimientos</w:t>
      </w:r>
      <w:r>
        <w:rPr>
          <w:spacing w:val="-59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referenciada</w:t>
      </w:r>
      <w:r>
        <w:rPr>
          <w:spacing w:val="-2"/>
        </w:rPr>
        <w:t> </w:t>
      </w:r>
      <w:r>
        <w:rPr/>
        <w:t>y todavía estén en tramitación.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Séptimo</w:t>
      </w:r>
      <w:r>
        <w:rPr/>
        <w:t>.- 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5.9, o una</w:t>
      </w:r>
      <w:r>
        <w:rPr>
          <w:spacing w:val="1"/>
        </w:rPr>
        <w:t> </w:t>
      </w:r>
      <w:r>
        <w:rPr/>
        <w:t>persona física que ha adquirido después del 30 de abril de 2008 viviendas que sean, en</w:t>
      </w:r>
      <w:r>
        <w:rPr>
          <w:spacing w:val="1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ulteriores</w:t>
      </w:r>
      <w:r>
        <w:rPr>
          <w:spacing w:val="-11"/>
        </w:rPr>
        <w:t> </w:t>
      </w:r>
      <w:r>
        <w:rPr/>
        <w:t>transmisiones,</w:t>
      </w:r>
      <w:r>
        <w:rPr>
          <w:spacing w:val="-12"/>
        </w:rPr>
        <w:t> </w:t>
      </w:r>
      <w:r>
        <w:rPr/>
        <w:t>provenientes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ejecuciones</w:t>
      </w:r>
      <w:r>
        <w:rPr>
          <w:spacing w:val="-8"/>
        </w:rPr>
        <w:t> </w:t>
      </w:r>
      <w:r>
        <w:rPr/>
        <w:t>hipotecarias,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acuerdos</w:t>
      </w:r>
      <w:r>
        <w:rPr>
          <w:spacing w:val="-11"/>
        </w:rPr>
        <w:t> </w:t>
      </w:r>
      <w:r>
        <w:rPr/>
        <w:t>de</w:t>
      </w:r>
      <w:r>
        <w:rPr>
          <w:spacing w:val="-58"/>
        </w:rPr>
        <w:t> </w:t>
      </w:r>
      <w:r>
        <w:rPr/>
        <w:t>compensación de deudas o de dación en pago o compraventa que tenga como causa la</w:t>
      </w:r>
      <w:r>
        <w:rPr>
          <w:spacing w:val="1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de devolver el préstamo hipotecario.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Octavo</w:t>
      </w:r>
      <w:r>
        <w:rPr/>
        <w:t>.-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según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modificación</w:t>
      </w:r>
      <w:r>
        <w:rPr>
          <w:spacing w:val="-8"/>
        </w:rPr>
        <w:t> </w:t>
      </w:r>
      <w:r>
        <w:rPr/>
        <w:t>introducida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1/2022,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03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spacing w:after="0" w:line="276" w:lineRule="auto"/>
        <w:jc w:val="both"/>
        <w:sectPr>
          <w:pgSz w:w="11910" w:h="16840"/>
          <w:pgMar w:header="773" w:footer="0" w:top="20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Noveno</w:t>
      </w:r>
      <w:r>
        <w:rPr/>
        <w:t>.- Que según la modificación introducida por la Ley 1/2022, del 03 de marzo de</w:t>
      </w:r>
      <w:r>
        <w:rPr>
          <w:spacing w:val="1"/>
        </w:rPr>
        <w:t> </w:t>
      </w:r>
      <w:r>
        <w:rPr/>
        <w:t>2022,en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añade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letra</w:t>
      </w:r>
      <w:r>
        <w:rPr>
          <w:spacing w:val="-8"/>
        </w:rPr>
        <w:t> </w:t>
      </w:r>
      <w:r>
        <w:rPr/>
        <w:t>f)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5.2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18/2007,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28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diciembre</w:t>
      </w:r>
      <w:r>
        <w:rPr>
          <w:spacing w:val="-16"/>
        </w:rPr>
        <w:t> 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vivienda,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formular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propuesta</w:t>
      </w:r>
      <w:r>
        <w:rPr>
          <w:spacing w:val="-16"/>
        </w:rPr>
        <w:t> </w:t>
      </w:r>
      <w:r>
        <w:rPr/>
        <w:t>obligatoria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alquiler</w:t>
      </w:r>
      <w:r>
        <w:rPr>
          <w:spacing w:val="-16"/>
        </w:rPr>
        <w:t> </w:t>
      </w:r>
      <w:r>
        <w:rPr/>
        <w:t>social,</w:t>
      </w:r>
      <w:r>
        <w:rPr>
          <w:spacing w:val="-5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4"/>
        <w:jc w:val="both"/>
      </w:pPr>
      <w:r>
        <w:rPr>
          <w:rFonts w:ascii="Arial" w:hAnsi="Arial"/>
          <w:b/>
        </w:rPr>
        <w:t>Décimo</w:t>
      </w:r>
      <w:r>
        <w:rPr/>
        <w:t>.-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modificación</w:t>
      </w:r>
      <w:r>
        <w:rPr>
          <w:spacing w:val="-11"/>
        </w:rPr>
        <w:t> </w:t>
      </w:r>
      <w:r>
        <w:rPr/>
        <w:t>introducida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Ley,</w:t>
      </w:r>
      <w:r>
        <w:rPr>
          <w:spacing w:val="-10"/>
        </w:rPr>
        <w:t> </w:t>
      </w:r>
      <w:r>
        <w:rPr/>
        <w:t>1/2022,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03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marzo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sexto, que modifica la letra j) del apartado segundo del artículo 124 de la Ley</w:t>
      </w:r>
      <w:r>
        <w:rPr>
          <w:spacing w:val="1"/>
        </w:rPr>
        <w:t> </w:t>
      </w:r>
      <w:r>
        <w:rPr/>
        <w:t>18/2007</w:t>
      </w:r>
      <w:r>
        <w:rPr>
          <w:spacing w:val="-13"/>
        </w:rPr>
        <w:t> </w:t>
      </w:r>
      <w:r>
        <w:rPr/>
        <w:t>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diciembre,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vivienda,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social</w:t>
      </w:r>
      <w:r>
        <w:rPr>
          <w:spacing w:val="-59"/>
        </w:rPr>
        <w:t> </w:t>
      </w:r>
      <w:r>
        <w:rPr/>
        <w:t>de la vivienda, en los términos expuestos en el punto anterior, supone una infracción grave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Undécimo</w:t>
      </w:r>
      <w:r>
        <w:rPr/>
        <w:t>.- Que por este motivo, han solicitado al juzgado la inmediata suspensión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59"/>
        </w:rPr>
        <w:t> </w:t>
      </w:r>
      <w:r>
        <w:rPr/>
        <w:t>propuesta de alquiler social en los términos establecidos por la ley de referencia, dado que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entidad le ha incumplido.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</w:t>
      </w:r>
      <w:r>
        <w:rPr>
          <w:sz w:val="22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cumpla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obligación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</w:rPr>
        <w:t>oferta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alquiler</w:t>
      </w:r>
      <w:r>
        <w:rPr>
          <w:spacing w:val="-8"/>
          <w:sz w:val="22"/>
        </w:rPr>
        <w:t> </w:t>
      </w:r>
      <w:r>
        <w:rPr>
          <w:sz w:val="22"/>
        </w:rPr>
        <w:t>social,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carácter</w:t>
      </w:r>
      <w:r>
        <w:rPr>
          <w:spacing w:val="-6"/>
          <w:sz w:val="22"/>
        </w:rPr>
        <w:t> </w:t>
      </w:r>
      <w:r>
        <w:rPr>
          <w:sz w:val="22"/>
        </w:rPr>
        <w:t>urgente,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establecidos por la Ley 24/2015, de 29 de julio, de medidas urgentes para afrontar</w:t>
      </w:r>
      <w:r>
        <w:rPr>
          <w:spacing w:val="1"/>
          <w:sz w:val="22"/>
        </w:rPr>
        <w:t> </w:t>
      </w:r>
      <w:r>
        <w:rPr>
          <w:sz w:val="22"/>
        </w:rPr>
        <w:t>la emergencia en el ámbito de la vivienda y pobreza energética, después de la modificación</w:t>
      </w:r>
      <w:r>
        <w:rPr>
          <w:spacing w:val="1"/>
          <w:sz w:val="22"/>
        </w:rPr>
        <w:t> </w:t>
      </w:r>
      <w:r>
        <w:rPr>
          <w:sz w:val="22"/>
        </w:rPr>
        <w:t>introducida por la Ley 1/2022, del 03 de marzo de 2022, de Ampliación de las medidas</w:t>
      </w:r>
      <w:r>
        <w:rPr>
          <w:spacing w:val="1"/>
          <w:sz w:val="22"/>
        </w:rPr>
        <w:t> </w:t>
      </w:r>
      <w:r>
        <w:rPr>
          <w:sz w:val="22"/>
        </w:rPr>
        <w:t>urgentes</w:t>
      </w:r>
      <w:r>
        <w:rPr>
          <w:spacing w:val="-1"/>
          <w:sz w:val="22"/>
        </w:rPr>
        <w:t> </w:t>
      </w:r>
      <w:r>
        <w:rPr>
          <w:sz w:val="22"/>
        </w:rPr>
        <w:t>para hacer frente a</w:t>
      </w:r>
      <w:r>
        <w:rPr>
          <w:spacing w:val="-1"/>
          <w:sz w:val="22"/>
        </w:rPr>
        <w:t> </w:t>
      </w:r>
      <w:r>
        <w:rPr>
          <w:sz w:val="22"/>
        </w:rPr>
        <w:t>la emergencia habitacional.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76" w:lineRule="auto" w:before="0" w:after="0"/>
        <w:ind w:left="120" w:right="113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</w:t>
      </w:r>
      <w:r>
        <w:rPr>
          <w:spacing w:val="-1"/>
          <w:sz w:val="22"/>
        </w:rPr>
        <w:t> </w:t>
      </w:r>
      <w:r>
        <w:rPr>
          <w:sz w:val="22"/>
        </w:rPr>
        <w:t>la Agencia de la</w:t>
      </w:r>
      <w:r>
        <w:rPr>
          <w:spacing w:val="-2"/>
          <w:sz w:val="22"/>
        </w:rPr>
        <w:t> </w:t>
      </w:r>
      <w:r>
        <w:rPr>
          <w:sz w:val="22"/>
        </w:rPr>
        <w:t>Vivienda de</w:t>
      </w:r>
      <w:r>
        <w:rPr>
          <w:spacing w:val="-1"/>
          <w:sz w:val="22"/>
        </w:rPr>
        <w:t> </w:t>
      </w:r>
      <w:r>
        <w:rPr>
          <w:sz w:val="22"/>
        </w:rPr>
        <w:t>Cataluña.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77" w:val="left" w:leader="none"/>
          <w:tab w:pos="3850" w:val="left" w:leader="none"/>
          <w:tab w:pos="6113" w:val="left" w:leader="none"/>
          <w:tab w:pos="7092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773" w:footer="0" w:top="20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9472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98576" cy="8046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57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30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25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finalización del alquiler - CAST</dc:title>
  <dcterms:created xsi:type="dcterms:W3CDTF">2022-03-22T23:16:04Z</dcterms:created>
  <dcterms:modified xsi:type="dcterms:W3CDTF">2022-03-22T23:16:04Z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