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Title"/>
        <w:rPr>
          <w:u w:val="none"/>
        </w:rPr>
      </w:pPr>
      <w:r>
        <w:rPr>
          <w:u w:val="thick"/>
        </w:rPr>
        <w:t>Solicitud</w:t>
      </w:r>
      <w:r>
        <w:rPr>
          <w:spacing w:val="-6"/>
          <w:u w:val="thick"/>
        </w:rPr>
        <w:t> </w:t>
      </w:r>
      <w:r>
        <w:rPr>
          <w:u w:val="thick"/>
        </w:rPr>
        <w:t>ayudas</w:t>
      </w:r>
      <w:r>
        <w:rPr>
          <w:spacing w:val="-5"/>
          <w:u w:val="thick"/>
        </w:rPr>
        <w:t> </w:t>
      </w:r>
      <w:r>
        <w:rPr>
          <w:u w:val="thick"/>
        </w:rPr>
        <w:t>/</w:t>
      </w:r>
      <w:r>
        <w:rPr>
          <w:spacing w:val="-6"/>
          <w:u w:val="thick"/>
        </w:rPr>
        <w:t> </w:t>
      </w:r>
      <w:r>
        <w:rPr>
          <w:u w:val="thick"/>
        </w:rPr>
        <w:t>realojo</w:t>
      </w:r>
      <w:r>
        <w:rPr>
          <w:spacing w:val="-5"/>
          <w:u w:val="thick"/>
        </w:rPr>
        <w:t> </w:t>
      </w:r>
      <w:r>
        <w:rPr>
          <w:u w:val="thick"/>
        </w:rPr>
        <w:t>adecuado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992" w:val="left" w:leader="none"/>
        </w:tabs>
        <w:spacing w:before="93"/>
        <w:ind w:left="3" w:right="0" w:firstLine="0"/>
        <w:jc w:val="center"/>
        <w:rPr>
          <w:rFonts w:ascii="Times New Roman"/>
          <w:sz w:val="22"/>
        </w:rPr>
      </w:pP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AYUNTAMIENTO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</w:t>
      </w:r>
      <w:r>
        <w:rPr>
          <w:rFonts w:ascii="Times New Roman"/>
          <w:w w:val="99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BodyText"/>
        <w:tabs>
          <w:tab w:pos="2689" w:val="left" w:leader="none"/>
        </w:tabs>
        <w:spacing w:before="92"/>
        <w:ind w:left="120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23"/>
        </w:rPr>
        <w:t> </w:t>
      </w:r>
      <w:r>
        <w:rPr/>
        <w:t>mayor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edad,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domicilio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efectos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notificaciones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</w:p>
    <w:p>
      <w:pPr>
        <w:pStyle w:val="BodyText"/>
        <w:tabs>
          <w:tab w:pos="5812" w:val="left" w:leader="none"/>
          <w:tab w:pos="7620" w:val="left" w:leader="none"/>
          <w:tab w:pos="9149" w:val="left" w:leader="none"/>
        </w:tabs>
        <w:spacing w:before="38"/>
        <w:ind w:left="120"/>
        <w:rPr>
          <w:rFonts w:ascii="Times New Roman" w:hAnsi="Times New Roman"/>
        </w:rPr>
      </w:pPr>
      <w:r>
        <w:rPr/>
        <w:t>calle</w:t>
      </w:r>
      <w:r>
        <w:rPr>
          <w:rFonts w:ascii="Times New Roman" w:hAnsi="Times New Roman"/>
          <w:u w:val="single"/>
        </w:rPr>
        <w:tab/>
      </w:r>
      <w:r>
        <w:rPr/>
        <w:t>número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piso </w:t>
      </w:r>
      <w:r>
        <w:rPr>
          <w:spacing w:val="-20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515" w:val="left" w:leader="none"/>
          <w:tab w:pos="5666" w:val="left" w:leader="none"/>
        </w:tabs>
        <w:spacing w:line="276" w:lineRule="auto" w:before="38"/>
        <w:ind w:left="120" w:right="113"/>
        <w:jc w:val="both"/>
      </w:pPr>
      <w:r>
        <w:rPr/>
        <w:t>de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DNI/NIE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0"/>
        </w:rPr>
        <w:t> </w:t>
      </w:r>
      <w:r>
        <w:rPr/>
        <w:t>comparece</w:t>
      </w:r>
      <w:r>
        <w:rPr>
          <w:spacing w:val="10"/>
        </w:rPr>
        <w:t> </w:t>
      </w:r>
      <w:r>
        <w:rPr/>
        <w:t>ante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servicio,</w:t>
      </w:r>
      <w:r>
        <w:rPr>
          <w:spacing w:val="11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mejor manera, y procede a</w:t>
      </w:r>
      <w:r>
        <w:rPr>
          <w:spacing w:val="1"/>
        </w:rPr>
        <w:t> </w:t>
      </w:r>
      <w:r>
        <w:rPr>
          <w:rFonts w:ascii="Arial"/>
          <w:b/>
        </w:rPr>
        <w:t>DECLARAR</w:t>
      </w:r>
      <w:r>
        <w:rPr/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462" w:val="left" w:leader="none"/>
        </w:tabs>
        <w:spacing w:line="276" w:lineRule="auto" w:before="1"/>
        <w:ind w:left="120" w:right="112" w:hanging="1"/>
        <w:jc w:val="both"/>
      </w:pPr>
      <w:r>
        <w:rPr>
          <w:rFonts w:ascii="Arial" w:hAnsi="Arial"/>
          <w:b/>
        </w:rPr>
        <w:t>Primero.</w:t>
      </w:r>
      <w:r>
        <w:rPr/>
        <w:t>-</w:t>
      </w:r>
      <w:r>
        <w:rPr>
          <w:spacing w:val="11"/>
        </w:rPr>
        <w:t> </w:t>
      </w:r>
      <w:r>
        <w:rPr/>
        <w:t>Que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familia,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causas</w:t>
      </w:r>
      <w:r>
        <w:rPr>
          <w:spacing w:val="11"/>
        </w:rPr>
        <w:t> </w:t>
      </w:r>
      <w:r>
        <w:rPr/>
        <w:t>ajenas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voluntad</w:t>
      </w:r>
      <w:r>
        <w:rPr>
          <w:spacing w:val="-59"/>
        </w:rPr>
        <w:t> </w:t>
      </w:r>
      <w:r>
        <w:rPr/>
        <w:t>tienen</w:t>
      </w:r>
      <w:r>
        <w:rPr>
          <w:spacing w:val="-14"/>
        </w:rPr>
        <w:t> </w:t>
      </w:r>
      <w:r>
        <w:rPr/>
        <w:t>dificultades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acceder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vivienda</w:t>
      </w:r>
      <w:r>
        <w:rPr>
          <w:spacing w:val="-14"/>
        </w:rPr>
        <w:t> </w:t>
      </w:r>
      <w:r>
        <w:rPr/>
        <w:t>digna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están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proceso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ser</w:t>
      </w:r>
      <w:r>
        <w:rPr>
          <w:spacing w:val="-13"/>
        </w:rPr>
        <w:t> </w:t>
      </w:r>
      <w:r>
        <w:rPr/>
        <w:t>desahuciadas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 vivienda habitual.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20" w:right="113"/>
        <w:jc w:val="both"/>
      </w:pPr>
      <w:r>
        <w:rPr>
          <w:rFonts w:ascii="Arial" w:hAnsi="Arial"/>
          <w:b/>
        </w:rPr>
        <w:t>Segundo.</w:t>
      </w:r>
      <w:r>
        <w:rPr/>
        <w:t>- Que en ellos concurren las circunstancias de no tener alternativa habitacional</w:t>
      </w:r>
      <w:r>
        <w:rPr>
          <w:spacing w:val="1"/>
        </w:rPr>
        <w:t> </w:t>
      </w:r>
      <w:r>
        <w:rPr>
          <w:spacing w:val="-1"/>
        </w:rPr>
        <w:t>propia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estar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situación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riesgo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exclusión</w:t>
      </w:r>
      <w:r>
        <w:rPr>
          <w:spacing w:val="-14"/>
        </w:rPr>
        <w:t> </w:t>
      </w:r>
      <w:r>
        <w:rPr/>
        <w:t>residencial,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acuerdo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establece</w:t>
      </w:r>
      <w:r>
        <w:rPr>
          <w:spacing w:val="-59"/>
        </w:rPr>
        <w:t> </w:t>
      </w:r>
      <w:r>
        <w:rPr/>
        <w:t>el artículo 5.10 de la Ley 24/2015, de 29 de julio, de medidas urgentes para afrontar la</w:t>
      </w:r>
      <w:r>
        <w:rPr>
          <w:spacing w:val="1"/>
        </w:rPr>
        <w:t> </w:t>
      </w:r>
      <w:r>
        <w:rPr/>
        <w:t>emergencia</w:t>
      </w:r>
      <w:r>
        <w:rPr>
          <w:spacing w:val="-1"/>
        </w:rPr>
        <w:t> </w:t>
      </w:r>
      <w:r>
        <w:rPr/>
        <w:t>en el ámbito</w:t>
      </w:r>
      <w:r>
        <w:rPr>
          <w:spacing w:val="-1"/>
        </w:rPr>
        <w:t> </w:t>
      </w:r>
      <w:r>
        <w:rPr/>
        <w:t>de la vivienda y</w:t>
      </w:r>
      <w:r>
        <w:rPr>
          <w:spacing w:val="-1"/>
        </w:rPr>
        <w:t> </w:t>
      </w:r>
      <w:r>
        <w:rPr/>
        <w:t>la pobreza energética.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1"/>
        <w:ind w:left="120" w:right="113" w:hanging="1"/>
        <w:jc w:val="both"/>
        <w:rPr>
          <w:sz w:val="22"/>
        </w:rPr>
      </w:pPr>
      <w:r>
        <w:rPr>
          <w:rFonts w:ascii="Arial" w:hAnsi="Arial"/>
          <w:b/>
          <w:sz w:val="22"/>
        </w:rPr>
        <w:t>Tercero</w:t>
      </w:r>
      <w:r>
        <w:rPr>
          <w:sz w:val="22"/>
        </w:rPr>
        <w:t>.-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mencionada</w:t>
      </w:r>
      <w:r>
        <w:rPr>
          <w:spacing w:val="-9"/>
          <w:sz w:val="22"/>
        </w:rPr>
        <w:t> </w:t>
      </w:r>
      <w:r>
        <w:rPr>
          <w:sz w:val="22"/>
        </w:rPr>
        <w:t>ley,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5.5,</w:t>
      </w:r>
      <w:r>
        <w:rPr>
          <w:spacing w:val="-9"/>
          <w:sz w:val="22"/>
        </w:rPr>
        <w:t> </w:t>
      </w:r>
      <w:r>
        <w:rPr>
          <w:sz w:val="22"/>
        </w:rPr>
        <w:t>establece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rFonts w:ascii="Arial" w:hAnsi="Arial"/>
          <w:i/>
          <w:sz w:val="22"/>
        </w:rPr>
        <w:t>“Las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personas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unidades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familiares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riesgo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exclusión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residencial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puedan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afrontar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pago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alquiler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vivienda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habitual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tienen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derecho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disfrutar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ayudas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eviten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lanzamiento”,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garantizando así el derecho a la vivienda digna y adecuada como derecho fundamental</w:t>
      </w:r>
      <w:r>
        <w:rPr>
          <w:spacing w:val="1"/>
          <w:sz w:val="22"/>
        </w:rPr>
        <w:t> </w:t>
      </w:r>
      <w:r>
        <w:rPr>
          <w:sz w:val="22"/>
        </w:rPr>
        <w:t>reconocido en los artículos 26 y 47 del Estatuto de Autonomía de Cataluña, 47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11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Pacto</w:t>
      </w:r>
      <w:r>
        <w:rPr>
          <w:spacing w:val="-9"/>
          <w:sz w:val="22"/>
        </w:rPr>
        <w:t> </w:t>
      </w:r>
      <w:r>
        <w:rPr>
          <w:sz w:val="22"/>
        </w:rPr>
        <w:t>Internacional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Derechos</w:t>
      </w:r>
      <w:r>
        <w:rPr>
          <w:spacing w:val="-9"/>
          <w:sz w:val="22"/>
        </w:rPr>
        <w:t> </w:t>
      </w:r>
      <w:r>
        <w:rPr>
          <w:sz w:val="22"/>
        </w:rPr>
        <w:t>Económicos,</w:t>
      </w:r>
      <w:r>
        <w:rPr>
          <w:spacing w:val="-8"/>
          <w:sz w:val="22"/>
        </w:rPr>
        <w:t> </w:t>
      </w:r>
      <w:r>
        <w:rPr>
          <w:sz w:val="22"/>
        </w:rPr>
        <w:t>Sociales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Culturales</w:t>
      </w:r>
      <w:r>
        <w:rPr>
          <w:spacing w:val="-9"/>
          <w:sz w:val="22"/>
        </w:rPr>
        <w:t> </w:t>
      </w:r>
      <w:r>
        <w:rPr>
          <w:sz w:val="22"/>
        </w:rPr>
        <w:t>(en</w:t>
      </w:r>
      <w:r>
        <w:rPr>
          <w:spacing w:val="-59"/>
          <w:sz w:val="22"/>
        </w:rPr>
        <w:t> </w:t>
      </w:r>
      <w:r>
        <w:rPr>
          <w:sz w:val="22"/>
        </w:rPr>
        <w:t>congruencia</w:t>
      </w:r>
      <w:r>
        <w:rPr>
          <w:spacing w:val="-2"/>
          <w:sz w:val="22"/>
        </w:rPr>
        <w:t> </w:t>
      </w:r>
      <w:r>
        <w:rPr>
          <w:sz w:val="22"/>
        </w:rPr>
        <w:t>con la Declaración</w:t>
      </w:r>
      <w:r>
        <w:rPr>
          <w:spacing w:val="-1"/>
          <w:sz w:val="22"/>
        </w:rPr>
        <w:t> </w:t>
      </w:r>
      <w:r>
        <w:rPr>
          <w:sz w:val="22"/>
        </w:rPr>
        <w:t>Universal de Derechos Humanos).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1"/>
        <w:ind w:left="120" w:right="11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Cuarto</w:t>
      </w:r>
      <w:r>
        <w:rPr>
          <w:sz w:val="22"/>
        </w:rPr>
        <w:t>.- Que el artículo 5.6 de la ley de referencia obliga a las administraciones públicas a</w:t>
      </w:r>
      <w:r>
        <w:rPr>
          <w:spacing w:val="1"/>
          <w:sz w:val="22"/>
        </w:rPr>
        <w:t> </w:t>
      </w:r>
      <w:r>
        <w:rPr>
          <w:sz w:val="22"/>
        </w:rPr>
        <w:t>garantizar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“en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cualquier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caso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realojamiento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adecuado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personas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unidades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familiares en situación de riesgo de exclusión residencial que estén en proceso de ser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desahuciadas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vivienda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habitual”.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deber</w:t>
      </w:r>
      <w:r>
        <w:rPr>
          <w:spacing w:val="1"/>
          <w:sz w:val="22"/>
        </w:rPr>
        <w:t> </w:t>
      </w:r>
      <w:r>
        <w:rPr>
          <w:sz w:val="22"/>
        </w:rPr>
        <w:t>recae,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competentes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vivienda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Generalidad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Cataluña,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-1"/>
          <w:sz w:val="22"/>
        </w:rPr>
        <w:t> </w:t>
      </w:r>
      <w:r>
        <w:rPr>
          <w:sz w:val="22"/>
        </w:rPr>
        <w:t>local del</w:t>
      </w:r>
      <w:r>
        <w:rPr>
          <w:spacing w:val="-2"/>
          <w:sz w:val="22"/>
        </w:rPr>
        <w:t> </w:t>
      </w:r>
      <w:r>
        <w:rPr>
          <w:sz w:val="22"/>
        </w:rPr>
        <w:t>territorio, 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con lo que</w:t>
      </w:r>
      <w:r>
        <w:rPr>
          <w:spacing w:val="-1"/>
          <w:sz w:val="22"/>
        </w:rPr>
        <w:t> </w:t>
      </w:r>
      <w:r>
        <w:rPr>
          <w:sz w:val="22"/>
        </w:rPr>
        <w:t>se regula en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0" w:right="112"/>
        <w:jc w:val="both"/>
      </w:pPr>
      <w:r>
        <w:rPr>
          <w:rFonts w:ascii="Arial" w:hAnsi="Arial"/>
          <w:b/>
        </w:rPr>
        <w:t>Quinto.</w:t>
      </w:r>
      <w:r>
        <w:rPr/>
        <w:t>- Que la Ley 24/2015 define las situaciones de riesgo de exclusión residencial. Se</w:t>
      </w:r>
      <w:r>
        <w:rPr>
          <w:spacing w:val="1"/>
        </w:rPr>
        <w:t> </w:t>
      </w:r>
      <w:r>
        <w:rPr/>
        <w:t>encuentran en esta situación, siempre, las personas o unidades familiares que tengan unos</w:t>
      </w:r>
      <w:r>
        <w:rPr>
          <w:spacing w:val="1"/>
        </w:rPr>
        <w:t> </w:t>
      </w:r>
      <w:r>
        <w:rPr/>
        <w:t>ingresos</w:t>
      </w:r>
      <w:r>
        <w:rPr>
          <w:spacing w:val="-13"/>
        </w:rPr>
        <w:t> </w:t>
      </w:r>
      <w:r>
        <w:rPr/>
        <w:t>inferiores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2</w:t>
      </w:r>
      <w:r>
        <w:rPr>
          <w:spacing w:val="-12"/>
        </w:rPr>
        <w:t> </w:t>
      </w:r>
      <w:r>
        <w:rPr/>
        <w:t>veces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IRSC,</w:t>
      </w:r>
      <w:r>
        <w:rPr>
          <w:spacing w:val="-12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trata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personas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viven</w:t>
      </w:r>
      <w:r>
        <w:rPr>
          <w:spacing w:val="-15"/>
        </w:rPr>
        <w:t> </w:t>
      </w:r>
      <w:r>
        <w:rPr/>
        <w:t>solas;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unos</w:t>
      </w:r>
      <w:r>
        <w:rPr>
          <w:spacing w:val="-13"/>
        </w:rPr>
        <w:t> </w:t>
      </w:r>
      <w:r>
        <w:rPr/>
        <w:t>ingresos</w:t>
      </w:r>
      <w:r>
        <w:rPr>
          <w:spacing w:val="-58"/>
        </w:rPr>
        <w:t> </w:t>
      </w:r>
      <w:r>
        <w:rPr/>
        <w:t>inferiores a 2,5 veces el IRSC, si se trata de unidades de convivencia; o unos ingresos</w:t>
      </w:r>
      <w:r>
        <w:rPr>
          <w:spacing w:val="1"/>
        </w:rPr>
        <w:t> </w:t>
      </w:r>
      <w:r>
        <w:rPr/>
        <w:t>inferiores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IRSC,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dependencia. Y es necesario un informe de los Servicios Sociales que acredite el riesgo de</w:t>
      </w:r>
      <w:r>
        <w:rPr>
          <w:spacing w:val="1"/>
        </w:rPr>
        <w:t> </w:t>
      </w:r>
      <w:r>
        <w:rPr/>
        <w:t>exclusión</w:t>
      </w:r>
      <w:r>
        <w:rPr>
          <w:spacing w:val="-2"/>
        </w:rPr>
        <w:t> </w:t>
      </w:r>
      <w:r>
        <w:rPr/>
        <w:t>residencial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superiores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1,5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IRSC.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773" w:top="202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14"/>
        <w:ind w:left="120" w:right="112"/>
        <w:jc w:val="both"/>
      </w:pPr>
      <w:r>
        <w:rPr>
          <w:rFonts w:ascii="Arial" w:hAnsi="Arial"/>
          <w:b/>
        </w:rPr>
        <w:t>Sexto</w:t>
      </w:r>
      <w:r>
        <w:rPr/>
        <w:t>.- Que, de acuerdo con la Disposición transitoria segunda de la Ley 24/2015 y la</w:t>
      </w:r>
      <w:r>
        <w:rPr>
          <w:spacing w:val="1"/>
        </w:rPr>
        <w:t> </w:t>
      </w:r>
      <w:r>
        <w:rPr/>
        <w:t>Disposición transitoria primera de la Ley 1/2022, del 3 de marzo de 2022, de Ampliación de</w:t>
      </w:r>
      <w:r>
        <w:rPr>
          <w:spacing w:val="1"/>
        </w:rPr>
        <w:t> </w:t>
      </w:r>
      <w:r>
        <w:rPr/>
        <w:t>medidas urgentes para hacer frente a la emergencia habitacional, en vigor y de obligada</w:t>
      </w:r>
      <w:r>
        <w:rPr>
          <w:spacing w:val="1"/>
        </w:rPr>
        <w:t> </w:t>
      </w:r>
      <w:r>
        <w:rPr/>
        <w:t>aplicación, en los casos de procedimientos que se encuentren en trámite de sustanciación o</w:t>
      </w:r>
      <w:r>
        <w:rPr>
          <w:spacing w:val="-59"/>
        </w:rPr>
        <w:t> </w:t>
      </w:r>
      <w:r>
        <w:rPr/>
        <w:t>de ejecución en el momento de entrada en vigor de esta ley y, que no sean definidas como</w:t>
      </w:r>
      <w:r>
        <w:rPr>
          <w:spacing w:val="1"/>
        </w:rPr>
        <w:t> </w:t>
      </w:r>
      <w:r>
        <w:rPr/>
        <w:t>grandes tenedores o hayan adquirido viviendas después del 30 de</w:t>
      </w:r>
      <w:r>
        <w:rPr>
          <w:spacing w:val="1"/>
        </w:rPr>
        <w:t> </w:t>
      </w:r>
      <w:r>
        <w:rPr/>
        <w:t>abril de 2008, son</w:t>
      </w:r>
      <w:r>
        <w:rPr>
          <w:spacing w:val="1"/>
        </w:rPr>
        <w:t> </w:t>
      </w:r>
      <w:r>
        <w:rPr/>
        <w:t>aplicables las medidas establecidas en el artículo 5.6 (realojamiento garantizado por las</w:t>
      </w:r>
      <w:r>
        <w:rPr>
          <w:spacing w:val="1"/>
        </w:rPr>
        <w:t> </w:t>
      </w:r>
      <w:r>
        <w:rPr/>
        <w:t>administraciones públicas) y en el artículo 7 (medidas para garantizar la función social de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aumentar</w:t>
      </w:r>
      <w:r>
        <w:rPr>
          <w:spacing w:val="-1"/>
        </w:rPr>
        <w:t> </w:t>
      </w:r>
      <w:r>
        <w:rPr/>
        <w:t>el parque público</w:t>
      </w:r>
      <w:r>
        <w:rPr>
          <w:spacing w:val="-1"/>
        </w:rPr>
        <w:t> </w:t>
      </w:r>
      <w:r>
        <w:rPr/>
        <w:t>viviendas asequibles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alquiler).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0" w:right="0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anterior,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SOLICITA</w:t>
      </w:r>
      <w:r>
        <w:rPr>
          <w:sz w:val="22"/>
        </w:rPr>
        <w:t>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76" w:lineRule="auto" w:before="0" w:after="0"/>
        <w:ind w:left="119" w:right="114" w:firstLine="0"/>
        <w:jc w:val="both"/>
        <w:rPr>
          <w:sz w:val="22"/>
        </w:rPr>
      </w:pPr>
      <w:r>
        <w:rPr>
          <w:sz w:val="22"/>
        </w:rPr>
        <w:t>Que la Administración cumpla con su obligación de garantizar las </w:t>
      </w:r>
      <w:r>
        <w:rPr>
          <w:rFonts w:ascii="Arial" w:hAnsi="Arial"/>
          <w:b/>
          <w:sz w:val="22"/>
        </w:rPr>
        <w:t>ayudas necesarias, </w:t>
      </w:r>
      <w:r>
        <w:rPr>
          <w:sz w:val="22"/>
        </w:rPr>
        <w:t>una</w:t>
      </w:r>
      <w:r>
        <w:rPr>
          <w:spacing w:val="-59"/>
          <w:sz w:val="22"/>
        </w:rPr>
        <w:t> </w:t>
      </w:r>
      <w:r>
        <w:rPr>
          <w:sz w:val="22"/>
        </w:rPr>
        <w:t>vez</w:t>
      </w:r>
      <w:r>
        <w:rPr>
          <w:spacing w:val="-9"/>
          <w:sz w:val="22"/>
        </w:rPr>
        <w:t> </w:t>
      </w:r>
      <w:r>
        <w:rPr>
          <w:sz w:val="22"/>
        </w:rPr>
        <w:t>examinadas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circunstancias</w:t>
      </w:r>
      <w:r>
        <w:rPr>
          <w:spacing w:val="-9"/>
          <w:sz w:val="22"/>
        </w:rPr>
        <w:t> </w:t>
      </w:r>
      <w:r>
        <w:rPr>
          <w:sz w:val="22"/>
        </w:rPr>
        <w:t>personales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socioeconómicas,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evitar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lanzamiento</w:t>
      </w:r>
      <w:r>
        <w:rPr>
          <w:spacing w:val="-58"/>
          <w:sz w:val="22"/>
        </w:rPr>
        <w:t> </w:t>
      </w:r>
      <w:r>
        <w:rPr>
          <w:sz w:val="22"/>
        </w:rPr>
        <w:t>y, </w:t>
      </w:r>
      <w:r>
        <w:rPr>
          <w:rFonts w:ascii="Arial" w:hAnsi="Arial"/>
          <w:b/>
          <w:sz w:val="22"/>
        </w:rPr>
        <w:t>subsidiariamente</w:t>
      </w:r>
      <w:r>
        <w:rPr>
          <w:sz w:val="22"/>
        </w:rPr>
        <w:t>, que </w:t>
      </w:r>
      <w:r>
        <w:rPr>
          <w:rFonts w:ascii="Arial" w:hAnsi="Arial"/>
          <w:b/>
          <w:sz w:val="22"/>
        </w:rPr>
        <w:t>garantice el realojamiento adecuado </w:t>
      </w:r>
      <w:r>
        <w:rPr>
          <w:sz w:val="22"/>
        </w:rPr>
        <w:t>al presente caso lo antes</w:t>
      </w:r>
      <w:r>
        <w:rPr>
          <w:spacing w:val="1"/>
          <w:sz w:val="22"/>
        </w:rPr>
        <w:t> </w:t>
      </w:r>
      <w:r>
        <w:rPr>
          <w:sz w:val="22"/>
        </w:rPr>
        <w:t>posible,</w:t>
      </w:r>
      <w:r>
        <w:rPr>
          <w:spacing w:val="-1"/>
          <w:sz w:val="22"/>
        </w:rPr>
        <w:t> </w:t>
      </w:r>
      <w:r>
        <w:rPr>
          <w:sz w:val="22"/>
        </w:rPr>
        <w:t>dada la situación</w:t>
      </w:r>
      <w:r>
        <w:rPr>
          <w:spacing w:val="-1"/>
          <w:sz w:val="22"/>
        </w:rPr>
        <w:t> </w:t>
      </w:r>
      <w:r>
        <w:rPr>
          <w:sz w:val="22"/>
        </w:rPr>
        <w:t>de emergencia 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que se encuentran.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76" w:lineRule="auto" w:before="0" w:after="0"/>
        <w:ind w:left="119" w:right="114" w:firstLine="0"/>
        <w:jc w:val="both"/>
        <w:rPr>
          <w:sz w:val="22"/>
        </w:rPr>
      </w:pPr>
      <w:r>
        <w:rPr>
          <w:sz w:val="22"/>
        </w:rPr>
        <w:t>Que, en caso de no disponer de vivienda, inicie el procedimiento para la aplicación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7 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1"/>
          <w:sz w:val="22"/>
        </w:rPr>
        <w:t> </w:t>
      </w:r>
      <w:r>
        <w:rPr>
          <w:sz w:val="22"/>
        </w:rPr>
        <w:t>de referencia y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comunique</w:t>
      </w:r>
      <w:r>
        <w:rPr>
          <w:spacing w:val="-1"/>
          <w:sz w:val="22"/>
        </w:rPr>
        <w:t> </w:t>
      </w:r>
      <w:r>
        <w:rPr>
          <w:sz w:val="22"/>
        </w:rPr>
        <w:t>al interesado/a.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49" w:val="left" w:leader="none"/>
        </w:tabs>
        <w:spacing w:line="276" w:lineRule="auto" w:before="1" w:after="0"/>
        <w:ind w:left="119" w:right="112" w:firstLine="0"/>
        <w:jc w:val="both"/>
        <w:rPr>
          <w:sz w:val="22"/>
        </w:rPr>
      </w:pPr>
      <w:r>
        <w:rPr>
          <w:sz w:val="22"/>
        </w:rPr>
        <w:t>Que,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dar</w:t>
      </w:r>
      <w:r>
        <w:rPr>
          <w:spacing w:val="-7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deber,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acuerdo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24/2015,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garantizar</w:t>
      </w:r>
      <w:r>
        <w:rPr>
          <w:spacing w:val="-9"/>
          <w:sz w:val="22"/>
        </w:rPr>
        <w:t> </w:t>
      </w:r>
      <w:r>
        <w:rPr>
          <w:sz w:val="22"/>
        </w:rPr>
        <w:t>vivienda</w:t>
      </w:r>
      <w:r>
        <w:rPr>
          <w:spacing w:val="-58"/>
          <w:sz w:val="22"/>
        </w:rPr>
        <w:t> </w:t>
      </w:r>
      <w:r>
        <w:rPr>
          <w:sz w:val="22"/>
        </w:rPr>
        <w:t>adecuada a las personas o unidades familiares en riesgo de exclusión residencial y que no</w:t>
      </w:r>
      <w:r>
        <w:rPr>
          <w:spacing w:val="1"/>
          <w:sz w:val="22"/>
        </w:rPr>
        <w:t> </w:t>
      </w:r>
      <w:r>
        <w:rPr>
          <w:sz w:val="22"/>
        </w:rPr>
        <w:t>tienen</w:t>
      </w:r>
      <w:r>
        <w:rPr>
          <w:spacing w:val="1"/>
          <w:sz w:val="22"/>
        </w:rPr>
        <w:t> </w:t>
      </w:r>
      <w:r>
        <w:rPr>
          <w:sz w:val="22"/>
        </w:rPr>
        <w:t>alternativa</w:t>
      </w:r>
      <w:r>
        <w:rPr>
          <w:spacing w:val="1"/>
          <w:sz w:val="22"/>
        </w:rPr>
        <w:t> </w:t>
      </w:r>
      <w:r>
        <w:rPr>
          <w:sz w:val="22"/>
        </w:rPr>
        <w:t>habitacional</w:t>
      </w:r>
      <w:r>
        <w:rPr>
          <w:spacing w:val="1"/>
          <w:sz w:val="22"/>
        </w:rPr>
        <w:t> </w:t>
      </w:r>
      <w:r>
        <w:rPr>
          <w:sz w:val="22"/>
        </w:rPr>
        <w:t>propia,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solicite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suspensión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procedimiento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judicial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1"/>
          <w:sz w:val="22"/>
        </w:rPr>
        <w:t> </w:t>
      </w:r>
      <w:r>
        <w:rPr>
          <w:sz w:val="22"/>
        </w:rPr>
        <w:t>encuentre</w:t>
      </w:r>
      <w:r>
        <w:rPr>
          <w:spacing w:val="-2"/>
          <w:sz w:val="22"/>
        </w:rPr>
        <w:t> </w:t>
      </w:r>
      <w:r>
        <w:rPr>
          <w:sz w:val="22"/>
        </w:rPr>
        <w:t>una solución</w:t>
      </w:r>
      <w:r>
        <w:rPr>
          <w:spacing w:val="-1"/>
          <w:sz w:val="22"/>
        </w:rPr>
        <w:t> </w:t>
      </w:r>
      <w:r>
        <w:rPr>
          <w:sz w:val="22"/>
        </w:rPr>
        <w:t>habitacional</w:t>
      </w:r>
      <w:r>
        <w:rPr>
          <w:spacing w:val="-1"/>
          <w:sz w:val="22"/>
        </w:rPr>
        <w:t> </w:t>
      </w:r>
      <w:r>
        <w:rPr>
          <w:sz w:val="22"/>
        </w:rPr>
        <w:t>al caso.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566" w:val="left" w:leader="none"/>
          <w:tab w:pos="5012" w:val="left" w:leader="none"/>
        </w:tabs>
        <w:spacing w:before="92"/>
        <w:ind w:left="119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u w:val="single"/>
        </w:rPr>
        <w:t>    </w:t>
      </w:r>
      <w:r>
        <w:rPr>
          <w:spacing w:val="60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rFonts w:ascii="Times New Roman"/>
          <w:u w:val="single"/>
        </w:rPr>
        <w:t> </w:t>
      </w:r>
      <w:r>
        <w:rPr>
          <w:rFonts w:ascii="Times New Roman"/>
          <w:spacing w:val="24"/>
          <w:u w:val="single"/>
        </w:rPr>
        <w:t> </w: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before="93"/>
        <w:ind w:left="119"/>
      </w:pPr>
      <w:r>
        <w:rPr/>
        <w:t>Firma</w:t>
      </w:r>
    </w:p>
    <w:sectPr>
      <w:pgSz w:w="11910" w:h="16840"/>
      <w:pgMar w:header="773" w:footer="0" w:top="202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947927</wp:posOffset>
          </wp:positionH>
          <wp:positionV relativeFrom="page">
            <wp:posOffset>490599</wp:posOffset>
          </wp:positionV>
          <wp:extent cx="792480" cy="7957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795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35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4" w:hanging="1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8" w:hanging="1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3" w:hanging="1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7" w:hanging="1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2" w:hanging="1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6" w:hanging="1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1" w:hanging="1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5" w:hanging="13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"/>
      <w:jc w:val="center"/>
    </w:pPr>
    <w:rPr>
      <w:rFonts w:ascii="Arial MT" w:hAnsi="Arial MT" w:eastAsia="Arial MT" w:cs="Arial MT"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1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</dc:creator>
  <dc:title>Microsoft Word - Solicitud ayudas _ realojo adecuado - CAST</dc:title>
  <dcterms:created xsi:type="dcterms:W3CDTF">2022-03-22T23:32:57Z</dcterms:created>
  <dcterms:modified xsi:type="dcterms:W3CDTF">2022-03-22T23:32:57Z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2022-03-22T00:00:00Z</vt:filetime>
  </property>
</Properties>
</file>