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Recurso reposición si nos deniegan la solicitud de suspensión</w:t>
      </w:r>
      <w:r>
        <w:rPr>
          <w:spacing w:val="-86"/>
          <w:u w:val="none"/>
        </w:rPr>
        <w:t> </w:t>
      </w:r>
      <w:r>
        <w:rPr>
          <w:u w:val="thick"/>
        </w:rPr>
        <w:t>lanzamiento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caso de</w:t>
      </w:r>
      <w:r>
        <w:rPr>
          <w:spacing w:val="-2"/>
          <w:u w:val="thick"/>
        </w:rPr>
        <w:t> </w:t>
      </w:r>
      <w:r>
        <w:rPr>
          <w:u w:val="thick"/>
        </w:rPr>
        <w:t>finalización</w:t>
      </w:r>
      <w:r>
        <w:rPr>
          <w:spacing w:val="-2"/>
          <w:u w:val="thick"/>
        </w:rPr>
        <w:t> </w:t>
      </w:r>
      <w:r>
        <w:rPr>
          <w:u w:val="thick"/>
        </w:rPr>
        <w:t>de contrato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4362" w:val="left" w:leader="none"/>
          <w:tab w:pos="7923" w:val="left" w:leader="none"/>
        </w:tabs>
        <w:spacing w:before="93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tabs>
          <w:tab w:pos="4837" w:val="left" w:leader="none"/>
        </w:tabs>
        <w:spacing w:before="93"/>
        <w:ind w:left="120"/>
        <w:rPr>
          <w:rFonts w:ascii="Times New Roman" w:hAnsi="Times New Roman"/>
        </w:rPr>
      </w:pPr>
      <w:r>
        <w:rPr/>
        <w:t>Juicio</w:t>
      </w:r>
      <w:r>
        <w:rPr>
          <w:spacing w:val="-1"/>
        </w:rPr>
        <w:t> </w:t>
      </w:r>
      <w:r>
        <w:rPr/>
        <w:t>N.º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3460" w:right="3457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JUZGADO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tabs>
          <w:tab w:pos="3544" w:val="left" w:leader="none"/>
          <w:tab w:pos="6226" w:val="left" w:leader="none"/>
          <w:tab w:pos="8682" w:val="left" w:leader="none"/>
        </w:tabs>
        <w:spacing w:line="254" w:lineRule="auto" w:before="92"/>
        <w:ind w:left="120" w:right="113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nombre</w:t>
      </w:r>
      <w:r>
        <w:rPr>
          <w:spacing w:val="-2"/>
        </w:rPr>
        <w:t> </w:t>
      </w:r>
      <w:r>
        <w:rPr/>
        <w:t>propio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derecho,</w:t>
      </w:r>
      <w:r>
        <w:rPr>
          <w:spacing w:val="-59"/>
        </w:rPr>
        <w:t> </w:t>
      </w:r>
      <w:r>
        <w:rPr/>
        <w:t>con</w:t>
      </w:r>
      <w:r>
        <w:rPr>
          <w:spacing w:val="35"/>
        </w:rPr>
        <w:t> </w:t>
      </w:r>
      <w:r>
        <w:rPr/>
        <w:t>domicilio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notificación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5"/>
        </w:rPr>
        <w:t> </w:t>
      </w:r>
      <w:r>
        <w:rPr/>
        <w:t>CP</w:t>
      </w:r>
    </w:p>
    <w:p>
      <w:pPr>
        <w:pStyle w:val="BodyText"/>
        <w:tabs>
          <w:tab w:pos="1098" w:val="left" w:leader="none"/>
          <w:tab w:pos="3006" w:val="left" w:leader="none"/>
        </w:tabs>
        <w:spacing w:line="256" w:lineRule="auto" w:before="3"/>
        <w:ind w:left="120" w:right="114"/>
        <w:jc w:val="both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comparezco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tabs>
          <w:tab w:pos="2698" w:val="left" w:leader="none"/>
        </w:tabs>
        <w:spacing w:line="360" w:lineRule="auto"/>
        <w:ind w:left="120" w:right="113"/>
        <w:jc w:val="both"/>
      </w:pP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esta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presentó</w:t>
      </w:r>
      <w:r>
        <w:rPr>
          <w:spacing w:val="-12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solicitando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práctica</w:t>
      </w:r>
      <w:r>
        <w:rPr>
          <w:spacing w:val="-58"/>
        </w:rPr>
        <w:t> </w:t>
      </w:r>
      <w:r>
        <w:rPr/>
        <w:t>del lanzamiento prevista para el día</w:t>
      </w:r>
      <w:r>
        <w:rPr>
          <w:u w:val="single"/>
        </w:rPr>
        <w:t>  </w:t>
      </w:r>
      <w:r>
        <w:rPr>
          <w:spacing w:val="1"/>
        </w:rPr>
        <w:t> </w:t>
      </w:r>
      <w:r>
        <w:rPr/>
        <w:t>en base a lo establecido en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 modificada recientemente a través de la Ley 1/2022, del 3 de marzo de 2022, de</w:t>
      </w:r>
      <w:r>
        <w:rPr>
          <w:spacing w:val="-59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urgentes</w:t>
      </w:r>
      <w:r>
        <w:rPr>
          <w:spacing w:val="-1"/>
        </w:rPr>
        <w:t> </w:t>
      </w:r>
      <w:r>
        <w:rPr/>
        <w:t>para hacer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Que dicha solicitud fue rechazada por este Juzgado, por lo que mediante el presente escrito</w:t>
      </w:r>
      <w:r>
        <w:rPr>
          <w:spacing w:val="-59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0"/>
        </w:rPr>
        <w:t> </w:t>
      </w:r>
      <w:r>
        <w:rPr/>
        <w:t>siguientes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3707" w:right="3005"/>
        <w:jc w:val="center"/>
      </w:pPr>
      <w:r>
        <w:rPr/>
        <w:t>ALEGACIONES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BodyText"/>
        <w:spacing w:line="360" w:lineRule="auto" w:before="1"/>
        <w:ind w:left="120" w:right="111"/>
        <w:jc w:val="both"/>
      </w:pPr>
      <w:r>
        <w:rPr>
          <w:rFonts w:ascii="Arial" w:hAnsi="Arial"/>
          <w:b/>
        </w:rPr>
        <w:t>PRIMERO.- </w:t>
      </w:r>
      <w:r>
        <w:rPr/>
        <w:t>Que la normativa internacional prohíbe la práctica de desalojos forzosos en</w:t>
      </w:r>
      <w:r>
        <w:rPr>
          <w:spacing w:val="1"/>
        </w:rPr>
        <w:t> </w:t>
      </w:r>
      <w:r>
        <w:rPr>
          <w:w w:val="95"/>
        </w:rPr>
        <w:t>viviendas si no existe una alternativa habitacional adecuada, así como el deber de los poderes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salud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conciudadanos</w:t>
      </w:r>
      <w:r>
        <w:rPr>
          <w:spacing w:val="-5"/>
        </w:rPr>
        <w:t> </w:t>
      </w:r>
      <w:r>
        <w:rPr/>
        <w:t>especialmente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tiempos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pandemia.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w w:val="95"/>
        </w:rPr>
        <w:t>artículo 11; y en virtud del Protocolo Facultativo, los países adheridos se someten a la decisión</w:t>
      </w:r>
      <w:r>
        <w:rPr>
          <w:spacing w:val="1"/>
          <w:w w:val="95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80" w:bottom="280" w:left="1320" w:right="1320"/>
          <w:pgNumType w:start="1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Catalunya</w:t>
      </w:r>
      <w:r>
        <w:rPr>
          <w:spacing w:val="-8"/>
        </w:rPr>
        <w:t> </w:t>
      </w:r>
      <w:r>
        <w:rPr/>
        <w:t>existe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ley,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antes</w:t>
      </w:r>
      <w:r>
        <w:rPr>
          <w:spacing w:val="-7"/>
        </w:rPr>
        <w:t> </w:t>
      </w:r>
      <w:r>
        <w:rPr/>
        <w:t>mencionada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24/2015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urgentes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afrontar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pobreza</w:t>
      </w:r>
      <w:r>
        <w:rPr>
          <w:spacing w:val="-8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precisamente ofrece alternativas válidas a las personas en situación de riesgo de exclusión</w:t>
      </w:r>
      <w:r>
        <w:rPr>
          <w:spacing w:val="1"/>
        </w:rPr>
        <w:t> </w:t>
      </w:r>
      <w:r>
        <w:rPr/>
        <w:t>residencial,</w:t>
      </w:r>
      <w:r>
        <w:rPr>
          <w:spacing w:val="-13"/>
        </w:rPr>
        <w:t> </w:t>
      </w:r>
      <w:r>
        <w:rPr/>
        <w:t>ya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alquiler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grandes</w:t>
      </w:r>
      <w:r>
        <w:rPr>
          <w:spacing w:val="-12"/>
        </w:rPr>
        <w:t> </w:t>
      </w:r>
      <w:r>
        <w:rPr/>
        <w:t>tenedores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realojo 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/>
        <w:t>Que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transitoria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2022</w:t>
      </w:r>
      <w:r>
        <w:rPr>
          <w:spacing w:val="-58"/>
        </w:rPr>
        <w:t> </w:t>
      </w:r>
      <w:r>
        <w:rPr/>
        <w:t>la obligación de ofrecer un alquiler social a que se refiere la disposición adicional primera de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24/2015,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pertinente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caso,</w:t>
      </w:r>
      <w:r>
        <w:rPr>
          <w:spacing w:val="-15"/>
        </w:rPr>
        <w:t> </w:t>
      </w:r>
      <w:r>
        <w:rPr/>
        <w:t>añadida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59"/>
        </w:rPr>
        <w:t> </w:t>
      </w:r>
      <w:r>
        <w:rPr/>
        <w:t>también en el caso de que los procedimientos judiciales correspondientes se hayan iniciado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 esta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estén todavía en tramitación.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/>
        <w:t>Que en virtud de esa ley, en el presente caso, corresponde la realización de una oferta de</w:t>
      </w:r>
      <w:r>
        <w:rPr>
          <w:spacing w:val="1"/>
        </w:rPr>
        <w:t> </w:t>
      </w:r>
      <w:r>
        <w:rPr/>
        <w:t>alquiler social por parte de la propiedad a esta parte antes de interponer demanda judicial,</w:t>
      </w:r>
      <w:r>
        <w:rPr>
          <w:spacing w:val="1"/>
        </w:rPr>
        <w:t> </w:t>
      </w:r>
      <w:r>
        <w:rPr/>
        <w:t>dado que la propiedad es sujeto obligado por esta medida y no ha cumplido con dicha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TERCERO.- </w:t>
      </w:r>
      <w:r>
        <w:rPr/>
        <w:t>Que la modificación de la Ley 24/2015, de 29 de julio, introducida por la Ley</w:t>
      </w:r>
      <w:r>
        <w:rPr>
          <w:spacing w:val="1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2022,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transitoria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mes</w:t>
      </w:r>
      <w:r>
        <w:rPr>
          <w:spacing w:val="-59"/>
        </w:rPr>
        <w:t> </w:t>
      </w:r>
      <w:r>
        <w:rPr/>
        <w:t>para que los sujetos obligados formalicen las ofertas de alquiler social a contar des del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reciben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acreditativa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exclusión</w:t>
      </w:r>
      <w:r>
        <w:rPr>
          <w:spacing w:val="-1"/>
        </w:rPr>
        <w:t> </w:t>
      </w:r>
      <w:r>
        <w:rPr/>
        <w:t>residencial.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Que, asimismo, introduce una Disposición adicional que establece que los procedimientos</w:t>
      </w:r>
      <w:r>
        <w:rPr>
          <w:spacing w:val="1"/>
        </w:rPr>
        <w:t> </w:t>
      </w:r>
      <w:r>
        <w:rPr/>
        <w:t>judiciales iniciados en los que no se haya acreditado la formulación de la oferta de alquiler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 suspender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la oferta</w:t>
      </w:r>
      <w:r>
        <w:rPr>
          <w:spacing w:val="-2"/>
        </w:rPr>
        <w:t> </w:t>
      </w:r>
      <w:r>
        <w:rPr/>
        <w:t>se pueda</w:t>
      </w:r>
      <w:r>
        <w:rPr>
          <w:spacing w:val="-1"/>
        </w:rPr>
        <w:t> </w:t>
      </w:r>
      <w:r>
        <w:rPr/>
        <w:t>formular y</w:t>
      </w:r>
      <w:r>
        <w:rPr>
          <w:spacing w:val="-1"/>
        </w:rPr>
        <w:t> </w:t>
      </w:r>
      <w:r>
        <w:rPr/>
        <w:t>acreditar.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alquiler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obligatorio</w:t>
      </w:r>
      <w:r>
        <w:rPr>
          <w:spacing w:val="-4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Ley 24/2015, de 29 de julio, o incumplir en la formulación de la propuesta los requisitos</w:t>
      </w:r>
      <w:r>
        <w:rPr>
          <w:spacing w:val="1"/>
        </w:rPr>
        <w:t> </w:t>
      </w:r>
      <w:r>
        <w:rPr/>
        <w:t>establecidos en la definición del artículo 5.7 de la misma ley supone un incumplimiento de la</w:t>
      </w:r>
      <w:r>
        <w:rPr>
          <w:spacing w:val="-59"/>
        </w:rPr>
        <w:t> </w:t>
      </w:r>
      <w:r>
        <w:rPr/>
        <w:t>función</w:t>
      </w:r>
      <w:r>
        <w:rPr>
          <w:spacing w:val="37"/>
        </w:rPr>
        <w:t> </w:t>
      </w:r>
      <w:r>
        <w:rPr/>
        <w:t>social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vivienda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incumplimiento</w:t>
      </w:r>
      <w:r>
        <w:rPr>
          <w:spacing w:val="37"/>
        </w:rPr>
        <w:t> </w:t>
      </w:r>
      <w:r>
        <w:rPr/>
        <w:t>grave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protección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1910" w:h="16840"/>
          <w:pgMar w:header="773" w:footer="0" w:top="1980" w:bottom="280" w:left="1320" w:right="13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/>
        <w:t>consumidores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mercado</w:t>
      </w:r>
      <w:r>
        <w:rPr>
          <w:spacing w:val="-4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18/2007,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acarrea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90.000€.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CUARTO.- </w:t>
      </w:r>
      <w:r>
        <w:rPr/>
        <w:t>Que, por lo tanto, es imperativo legal suspender este lanzamiento hasta que se</w:t>
      </w:r>
      <w:r>
        <w:rPr>
          <w:spacing w:val="1"/>
        </w:rPr>
        <w:t> </w:t>
      </w:r>
      <w:r>
        <w:rPr/>
        <w:t>haya</w:t>
      </w:r>
      <w:r>
        <w:rPr>
          <w:spacing w:val="-13"/>
        </w:rPr>
        <w:t> </w:t>
      </w:r>
      <w:r>
        <w:rPr/>
        <w:t>realizado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alquiler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o,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mínimo,</w:t>
      </w:r>
      <w:r>
        <w:rPr>
          <w:spacing w:val="-12"/>
        </w:rPr>
        <w:t> </w:t>
      </w:r>
      <w:r>
        <w:rPr/>
        <w:t>hasta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haya</w:t>
      </w:r>
      <w:r>
        <w:rPr>
          <w:spacing w:val="-59"/>
        </w:rPr>
        <w:t> </w:t>
      </w:r>
      <w:r>
        <w:rPr/>
        <w:t>otorgado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normativa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Sin perjuicio de lo anterior, es imprescindible antes de promover cualquier iniciativa de</w:t>
      </w:r>
      <w:r>
        <w:rPr>
          <w:spacing w:val="1"/>
        </w:rPr>
        <w:t> </w:t>
      </w:r>
      <w:r>
        <w:rPr/>
        <w:t>desalojo que se haga un adecuado juicio de proporcionalidad y se valore motivadamente los</w:t>
      </w:r>
      <w:r>
        <w:rPr>
          <w:spacing w:val="-59"/>
        </w:rPr>
        <w:t> </w:t>
      </w:r>
      <w:r>
        <w:rPr/>
        <w:t>derechos en juego. Cabe preguntarse si la recuperación de la posesión por parte de la</w:t>
      </w:r>
      <w:r>
        <w:rPr>
          <w:spacing w:val="1"/>
        </w:rPr>
        <w:t> </w:t>
      </w:r>
      <w:r>
        <w:rPr/>
        <w:t>propiedad es tan necesaria en el momento presente y si esta posibilidad atenta contra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básicos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demandada,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salud,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integridad</w:t>
      </w:r>
      <w:r>
        <w:rPr>
          <w:spacing w:val="-58"/>
        </w:rPr>
        <w:t> </w:t>
      </w:r>
      <w:r>
        <w:rPr/>
        <w:t>física</w:t>
      </w:r>
      <w:r>
        <w:rPr>
          <w:spacing w:val="-2"/>
        </w:rPr>
        <w:t> </w:t>
      </w:r>
      <w:r>
        <w:rPr/>
        <w:t>y moral y más ahora el 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Por tanto, es imprescindible antes de promover cualquier iniciativa de desalojo que se haga</w:t>
      </w:r>
      <w:r>
        <w:rPr>
          <w:spacing w:val="1"/>
        </w:rPr>
        <w:t> </w:t>
      </w:r>
      <w:r>
        <w:rPr/>
        <w:t>un adecuado juicio de proporcionalidad y se valore motivadamente los derechos en juego.</w:t>
      </w:r>
      <w:r>
        <w:rPr>
          <w:spacing w:val="1"/>
        </w:rPr>
        <w:t> </w:t>
      </w:r>
      <w:r>
        <w:rPr>
          <w:w w:val="95"/>
        </w:rPr>
        <w:t>Cabe preguntarse si la recuperación de la posesión por parte de</w:t>
      </w:r>
      <w:r>
        <w:rPr>
          <w:spacing w:val="55"/>
        </w:rPr>
        <w:t> </w:t>
      </w:r>
      <w:r>
        <w:rPr>
          <w:w w:val="95"/>
        </w:rPr>
        <w:t>la propiedad es tan necesaria</w:t>
      </w:r>
      <w:r>
        <w:rPr>
          <w:spacing w:val="1"/>
          <w:w w:val="95"/>
        </w:rPr>
        <w:t> </w:t>
      </w:r>
      <w:r>
        <w:rPr/>
        <w:t>en el momento presente y si esta posibilidad atenta contra los derechos más básicos de la</w:t>
      </w:r>
      <w:r>
        <w:rPr>
          <w:spacing w:val="1"/>
        </w:rPr>
        <w:t> </w:t>
      </w:r>
      <w:r>
        <w:rPr/>
        <w:t>parte demandada, como son el derecho a la salud, a la integridad física y moral y más ahora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20"/>
        <w:jc w:val="both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virtud,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7675" w:val="left" w:leader="dot"/>
        </w:tabs>
        <w:spacing w:line="360" w:lineRule="auto"/>
        <w:ind w:left="119" w:right="112"/>
        <w:jc w:val="both"/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SOLICITO: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él</w:t>
      </w:r>
      <w:r>
        <w:rPr>
          <w:spacing w:val="-5"/>
        </w:rPr>
        <w:t> </w:t>
      </w:r>
      <w:r>
        <w:rPr/>
        <w:t>contenidas,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sirva</w:t>
      </w:r>
      <w:r>
        <w:rPr>
          <w:spacing w:val="-5"/>
        </w:rPr>
        <w:t> </w:t>
      </w:r>
      <w:r>
        <w:rPr/>
        <w:t>admitirlo,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razón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méritos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formulado</w:t>
      </w:r>
      <w:r>
        <w:rPr>
          <w:spacing w:val="-6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-4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5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rFonts w:ascii="Times New Roman" w:hAnsi="Times New Roman"/>
        </w:rPr>
        <w:tab/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motivos</w:t>
      </w:r>
    </w:p>
    <w:p>
      <w:pPr>
        <w:pStyle w:val="BodyText"/>
        <w:spacing w:line="252" w:lineRule="exact"/>
        <w:ind w:left="120"/>
        <w:jc w:val="both"/>
      </w:pPr>
      <w:r>
        <w:rPr/>
        <w:t>anteriormente</w:t>
      </w:r>
      <w:r>
        <w:rPr>
          <w:spacing w:val="-3"/>
        </w:rPr>
        <w:t> </w:t>
      </w:r>
      <w:r>
        <w:rPr/>
        <w:t>expuestos,</w:t>
      </w:r>
      <w:r>
        <w:rPr>
          <w:spacing w:val="-2"/>
        </w:rPr>
        <w:t> </w:t>
      </w:r>
      <w:r>
        <w:rPr/>
        <w:t>interesando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inmediata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lanzamiento.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9"/>
        <w:jc w:val="both"/>
      </w:pPr>
      <w:r>
        <w:rPr/>
        <w:t>Es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……….</w:t>
      </w:r>
      <w:r>
        <w:rPr>
          <w:spacing w:val="-1"/>
        </w:rPr>
        <w:t> </w:t>
      </w:r>
      <w:r>
        <w:rPr/>
        <w:t>a ….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</w:t>
      </w:r>
      <w:r>
        <w:rPr>
          <w:spacing w:val="-1"/>
        </w:rPr>
        <w:t> </w:t>
      </w:r>
      <w:r>
        <w:rPr/>
        <w:t>de …...</w:t>
      </w:r>
    </w:p>
    <w:sectPr>
      <w:pgSz w:w="11910" w:h="16840"/>
      <w:pgMar w:header="773" w:footer="0" w:top="1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62000" cy="7680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62" w:right="213" w:hanging="1031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reposición si nos deniegan la solicitud de suspensión lanzamiento en caso de finalización de contra</dc:title>
  <dcterms:created xsi:type="dcterms:W3CDTF">2022-03-22T23:17:50Z</dcterms:created>
  <dcterms:modified xsi:type="dcterms:W3CDTF">2022-03-22T23:17:50Z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